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0D4B" w14:textId="4E54863A" w:rsidR="00E77D72" w:rsidRPr="002876B5" w:rsidRDefault="00E67D6D" w:rsidP="002876B5">
      <w:pPr>
        <w:spacing w:line="360" w:lineRule="auto"/>
        <w:jc w:val="center"/>
        <w:rPr>
          <w:rFonts w:ascii="Times New Roman" w:hAnsi="Times New Roman"/>
          <w:b/>
          <w:bCs/>
          <w:sz w:val="24"/>
        </w:rPr>
      </w:pPr>
      <w:r w:rsidRPr="002876B5">
        <w:rPr>
          <w:rFonts w:ascii="Times New Roman" w:hAnsi="Times New Roman"/>
          <w:b/>
          <w:bCs/>
          <w:sz w:val="24"/>
        </w:rPr>
        <w:t>S78 Town and Country Planning Act 1990</w:t>
      </w:r>
    </w:p>
    <w:p w14:paraId="1BAE4B0B" w14:textId="0881B506" w:rsidR="00E67D6D" w:rsidRPr="002876B5" w:rsidRDefault="00E67D6D" w:rsidP="002876B5">
      <w:pPr>
        <w:spacing w:line="360" w:lineRule="auto"/>
        <w:jc w:val="center"/>
        <w:rPr>
          <w:rFonts w:ascii="Times New Roman" w:hAnsi="Times New Roman"/>
          <w:b/>
          <w:bCs/>
          <w:sz w:val="24"/>
        </w:rPr>
      </w:pPr>
    </w:p>
    <w:p w14:paraId="730A5A5A" w14:textId="5B48B351" w:rsidR="00E67D6D" w:rsidRPr="002876B5" w:rsidRDefault="00E67D6D" w:rsidP="002876B5">
      <w:pPr>
        <w:spacing w:line="360" w:lineRule="auto"/>
        <w:jc w:val="center"/>
        <w:rPr>
          <w:rFonts w:ascii="Times New Roman" w:hAnsi="Times New Roman"/>
          <w:b/>
          <w:bCs/>
          <w:sz w:val="24"/>
        </w:rPr>
      </w:pPr>
      <w:r w:rsidRPr="002876B5">
        <w:rPr>
          <w:rFonts w:ascii="Times New Roman" w:hAnsi="Times New Roman"/>
          <w:b/>
          <w:bCs/>
          <w:sz w:val="24"/>
        </w:rPr>
        <w:t>Land at junction of Carr Road/Hollin Busk Lane</w:t>
      </w:r>
    </w:p>
    <w:p w14:paraId="0F141FFE" w14:textId="121C0687" w:rsidR="00E67D6D" w:rsidRPr="002876B5" w:rsidRDefault="00E67D6D" w:rsidP="002876B5">
      <w:pPr>
        <w:spacing w:line="360" w:lineRule="auto"/>
        <w:jc w:val="center"/>
        <w:rPr>
          <w:rFonts w:ascii="Times New Roman" w:hAnsi="Times New Roman"/>
          <w:b/>
          <w:bCs/>
          <w:sz w:val="24"/>
        </w:rPr>
      </w:pPr>
    </w:p>
    <w:p w14:paraId="2B4F6852" w14:textId="6F19EFC6" w:rsidR="007D469D" w:rsidRDefault="00E67D6D" w:rsidP="00F53EEF">
      <w:pPr>
        <w:spacing w:line="360" w:lineRule="auto"/>
        <w:jc w:val="center"/>
        <w:rPr>
          <w:rFonts w:ascii="Times New Roman" w:hAnsi="Times New Roman"/>
          <w:b/>
          <w:bCs/>
          <w:sz w:val="24"/>
        </w:rPr>
      </w:pPr>
      <w:r w:rsidRPr="002876B5">
        <w:rPr>
          <w:rFonts w:ascii="Times New Roman" w:hAnsi="Times New Roman"/>
          <w:b/>
          <w:bCs/>
          <w:sz w:val="24"/>
        </w:rPr>
        <w:t>PINS Ref: APP/J4423/W//21/3267168</w:t>
      </w:r>
    </w:p>
    <w:p w14:paraId="511082F4" w14:textId="67EDAC94" w:rsidR="00F53EEF" w:rsidRPr="002876B5" w:rsidRDefault="00F53EEF" w:rsidP="00F53EEF">
      <w:pPr>
        <w:spacing w:line="360" w:lineRule="auto"/>
        <w:jc w:val="center"/>
        <w:rPr>
          <w:rFonts w:ascii="Times New Roman" w:hAnsi="Times New Roman"/>
          <w:b/>
          <w:bCs/>
          <w:sz w:val="24"/>
        </w:rPr>
      </w:pPr>
      <w:r>
        <w:rPr>
          <w:rFonts w:ascii="Times New Roman" w:hAnsi="Times New Roman"/>
          <w:b/>
          <w:bCs/>
          <w:sz w:val="24"/>
        </w:rPr>
        <w:t>________________________________________</w:t>
      </w:r>
    </w:p>
    <w:p w14:paraId="4BF40FE7" w14:textId="115A3064" w:rsidR="007D469D" w:rsidRPr="002876B5" w:rsidRDefault="007D469D" w:rsidP="002876B5">
      <w:pPr>
        <w:spacing w:line="360" w:lineRule="auto"/>
        <w:jc w:val="center"/>
        <w:rPr>
          <w:rFonts w:ascii="Times New Roman" w:hAnsi="Times New Roman"/>
          <w:b/>
          <w:bCs/>
          <w:sz w:val="24"/>
        </w:rPr>
      </w:pPr>
      <w:r w:rsidRPr="002876B5">
        <w:rPr>
          <w:rFonts w:ascii="Times New Roman" w:hAnsi="Times New Roman"/>
          <w:b/>
          <w:bCs/>
          <w:sz w:val="24"/>
        </w:rPr>
        <w:t>Opening Submissions of the Council</w:t>
      </w:r>
    </w:p>
    <w:p w14:paraId="7654BF51" w14:textId="77777777" w:rsidR="00F53EEF" w:rsidRDefault="00F53EEF" w:rsidP="00F53EEF">
      <w:pPr>
        <w:jc w:val="center"/>
      </w:pPr>
      <w:r>
        <w:rPr>
          <w:rFonts w:ascii="Times New Roman" w:hAnsi="Times New Roman"/>
          <w:b/>
          <w:bCs/>
          <w:sz w:val="24"/>
        </w:rPr>
        <w:t>________________________________________</w:t>
      </w:r>
    </w:p>
    <w:p w14:paraId="7565BEBB" w14:textId="6316A214" w:rsidR="00F53EEF" w:rsidRDefault="00F53EEF" w:rsidP="00F53EEF">
      <w:pPr>
        <w:spacing w:line="360" w:lineRule="auto"/>
        <w:jc w:val="center"/>
        <w:rPr>
          <w:rFonts w:ascii="Times New Roman" w:hAnsi="Times New Roman"/>
          <w:b/>
          <w:bCs/>
          <w:sz w:val="24"/>
        </w:rPr>
      </w:pPr>
    </w:p>
    <w:p w14:paraId="06A1A48C" w14:textId="4E636DBF" w:rsidR="002876B5" w:rsidRPr="002876B5" w:rsidRDefault="002876B5" w:rsidP="002876B5">
      <w:pPr>
        <w:spacing w:line="360" w:lineRule="auto"/>
        <w:rPr>
          <w:rFonts w:ascii="Times New Roman" w:hAnsi="Times New Roman"/>
          <w:b/>
          <w:bCs/>
          <w:sz w:val="24"/>
        </w:rPr>
      </w:pPr>
      <w:r>
        <w:rPr>
          <w:rFonts w:ascii="Times New Roman" w:hAnsi="Times New Roman"/>
          <w:b/>
          <w:bCs/>
          <w:sz w:val="24"/>
        </w:rPr>
        <w:t>Introduction</w:t>
      </w:r>
    </w:p>
    <w:p w14:paraId="06CA3D62" w14:textId="51A30A51" w:rsidR="007D469D" w:rsidRDefault="007D469D" w:rsidP="001278D2">
      <w:pPr>
        <w:pStyle w:val="ListParagraph"/>
        <w:numPr>
          <w:ilvl w:val="0"/>
          <w:numId w:val="1"/>
        </w:numPr>
        <w:spacing w:line="360" w:lineRule="auto"/>
        <w:jc w:val="both"/>
        <w:rPr>
          <w:rFonts w:ascii="Times New Roman" w:hAnsi="Times New Roman"/>
          <w:sz w:val="24"/>
        </w:rPr>
      </w:pPr>
      <w:r w:rsidRPr="001278D2">
        <w:rPr>
          <w:rFonts w:ascii="Times New Roman" w:hAnsi="Times New Roman"/>
          <w:sz w:val="24"/>
        </w:rPr>
        <w:t>This is an appeal into the refusal of outline planning permission for up to 85 dwellings including open space on land at the junction of Carr Road and Hollin Busk Lane (“the Appeal Site).</w:t>
      </w:r>
    </w:p>
    <w:p w14:paraId="76CFA31E" w14:textId="77777777" w:rsidR="00F21E10" w:rsidRPr="001278D2" w:rsidRDefault="00F21E10" w:rsidP="00F21E10">
      <w:pPr>
        <w:pStyle w:val="ListParagraph"/>
        <w:spacing w:line="360" w:lineRule="auto"/>
        <w:jc w:val="both"/>
        <w:rPr>
          <w:rFonts w:ascii="Times New Roman" w:hAnsi="Times New Roman"/>
          <w:sz w:val="24"/>
        </w:rPr>
      </w:pPr>
    </w:p>
    <w:p w14:paraId="522AB446" w14:textId="57F350C6" w:rsidR="007D469D" w:rsidRPr="001278D2" w:rsidRDefault="007D469D" w:rsidP="001278D2">
      <w:pPr>
        <w:pStyle w:val="ListParagraph"/>
        <w:numPr>
          <w:ilvl w:val="0"/>
          <w:numId w:val="1"/>
        </w:numPr>
        <w:spacing w:line="360" w:lineRule="auto"/>
        <w:jc w:val="both"/>
        <w:rPr>
          <w:rFonts w:ascii="Times New Roman" w:hAnsi="Times New Roman"/>
          <w:sz w:val="24"/>
        </w:rPr>
      </w:pPr>
      <w:r w:rsidRPr="001278D2">
        <w:rPr>
          <w:rFonts w:ascii="Times New Roman" w:hAnsi="Times New Roman"/>
          <w:sz w:val="24"/>
        </w:rPr>
        <w:t>Planning permission was refused for two reasons</w:t>
      </w:r>
      <w:r w:rsidRPr="001278D2">
        <w:rPr>
          <w:rStyle w:val="FootnoteReference"/>
          <w:rFonts w:ascii="Times New Roman" w:hAnsi="Times New Roman"/>
          <w:sz w:val="24"/>
        </w:rPr>
        <w:footnoteReference w:id="1"/>
      </w:r>
      <w:r w:rsidRPr="001278D2">
        <w:rPr>
          <w:rFonts w:ascii="Times New Roman" w:hAnsi="Times New Roman"/>
          <w:sz w:val="24"/>
        </w:rPr>
        <w:t xml:space="preserve"> which give rise to the following main issues as set out as agreed in the Case Management Conference Note:</w:t>
      </w:r>
    </w:p>
    <w:p w14:paraId="2C6E9120" w14:textId="43EFF15A" w:rsidR="007D469D" w:rsidRPr="001278D2" w:rsidRDefault="007D469D" w:rsidP="001278D2">
      <w:pPr>
        <w:pStyle w:val="ListParagraph"/>
        <w:numPr>
          <w:ilvl w:val="0"/>
          <w:numId w:val="2"/>
        </w:numPr>
        <w:spacing w:line="360" w:lineRule="auto"/>
        <w:jc w:val="both"/>
        <w:rPr>
          <w:rFonts w:ascii="Times New Roman" w:hAnsi="Times New Roman"/>
          <w:sz w:val="24"/>
        </w:rPr>
      </w:pPr>
      <w:r w:rsidRPr="001278D2">
        <w:rPr>
          <w:rFonts w:ascii="Times New Roman" w:hAnsi="Times New Roman"/>
          <w:sz w:val="24"/>
        </w:rPr>
        <w:t>The effect of the proposed development on the character and appearance of the surrounding area;</w:t>
      </w:r>
    </w:p>
    <w:p w14:paraId="670AD140" w14:textId="2E2EB62D" w:rsidR="007D469D" w:rsidRPr="001278D2" w:rsidRDefault="007D469D" w:rsidP="001278D2">
      <w:pPr>
        <w:pStyle w:val="ListParagraph"/>
        <w:numPr>
          <w:ilvl w:val="0"/>
          <w:numId w:val="2"/>
        </w:numPr>
        <w:spacing w:line="360" w:lineRule="auto"/>
        <w:jc w:val="both"/>
        <w:rPr>
          <w:rFonts w:ascii="Times New Roman" w:hAnsi="Times New Roman"/>
          <w:sz w:val="24"/>
        </w:rPr>
      </w:pPr>
      <w:r w:rsidRPr="001278D2">
        <w:rPr>
          <w:rFonts w:ascii="Times New Roman" w:hAnsi="Times New Roman"/>
          <w:sz w:val="24"/>
        </w:rPr>
        <w:t>The effect of the proposed development on the special interest of nearby heritage assets; and</w:t>
      </w:r>
    </w:p>
    <w:p w14:paraId="042F66BE" w14:textId="326D3743" w:rsidR="00FD33D6" w:rsidRDefault="007D469D" w:rsidP="001278D2">
      <w:pPr>
        <w:pStyle w:val="ListParagraph"/>
        <w:numPr>
          <w:ilvl w:val="0"/>
          <w:numId w:val="2"/>
        </w:numPr>
        <w:spacing w:line="360" w:lineRule="auto"/>
        <w:jc w:val="both"/>
        <w:rPr>
          <w:rFonts w:ascii="Times New Roman" w:hAnsi="Times New Roman"/>
          <w:sz w:val="24"/>
        </w:rPr>
      </w:pPr>
      <w:r w:rsidRPr="001278D2">
        <w:rPr>
          <w:rFonts w:ascii="Times New Roman" w:hAnsi="Times New Roman"/>
          <w:sz w:val="24"/>
        </w:rPr>
        <w:t xml:space="preserve">The planning balance including policy considerations and the benefits of the scheme. </w:t>
      </w:r>
    </w:p>
    <w:p w14:paraId="22EDD9B6" w14:textId="77777777" w:rsidR="008905F1" w:rsidRPr="008905F1" w:rsidRDefault="008905F1" w:rsidP="008905F1">
      <w:pPr>
        <w:pStyle w:val="ListParagraph"/>
        <w:spacing w:line="360" w:lineRule="auto"/>
        <w:ind w:left="1800"/>
        <w:jc w:val="both"/>
        <w:rPr>
          <w:rFonts w:ascii="Times New Roman" w:hAnsi="Times New Roman"/>
          <w:sz w:val="24"/>
        </w:rPr>
      </w:pPr>
    </w:p>
    <w:p w14:paraId="7640E385" w14:textId="694AEF30" w:rsidR="00FD33D6" w:rsidRPr="00430603" w:rsidRDefault="00FD33D6" w:rsidP="001278D2">
      <w:pPr>
        <w:spacing w:line="360" w:lineRule="auto"/>
        <w:jc w:val="both"/>
        <w:rPr>
          <w:rFonts w:ascii="Times New Roman" w:hAnsi="Times New Roman"/>
          <w:b/>
          <w:bCs/>
          <w:sz w:val="24"/>
        </w:rPr>
      </w:pPr>
      <w:r w:rsidRPr="00430603">
        <w:rPr>
          <w:rFonts w:ascii="Times New Roman" w:hAnsi="Times New Roman"/>
          <w:b/>
          <w:bCs/>
          <w:sz w:val="24"/>
        </w:rPr>
        <w:t>Issue 1: Character and appearance</w:t>
      </w:r>
    </w:p>
    <w:p w14:paraId="7AC6F7F9" w14:textId="4900C333" w:rsidR="00FD33D6" w:rsidRDefault="00FD33D6" w:rsidP="001278D2">
      <w:pPr>
        <w:pStyle w:val="ListParagraph"/>
        <w:numPr>
          <w:ilvl w:val="0"/>
          <w:numId w:val="1"/>
        </w:numPr>
        <w:spacing w:line="360" w:lineRule="auto"/>
        <w:jc w:val="both"/>
        <w:rPr>
          <w:rFonts w:ascii="Times New Roman" w:hAnsi="Times New Roman"/>
          <w:sz w:val="24"/>
        </w:rPr>
      </w:pPr>
      <w:r w:rsidRPr="001278D2">
        <w:rPr>
          <w:rFonts w:ascii="Times New Roman" w:hAnsi="Times New Roman"/>
          <w:sz w:val="24"/>
        </w:rPr>
        <w:t>The Council relies on the evidence of Ricardo Ares, and the evidence will be heard by way of a round-table session.</w:t>
      </w:r>
    </w:p>
    <w:p w14:paraId="3D4D5B96" w14:textId="77777777" w:rsidR="001C77FF" w:rsidRDefault="001C77FF" w:rsidP="001C77FF">
      <w:pPr>
        <w:pStyle w:val="ListParagraph"/>
        <w:spacing w:line="360" w:lineRule="auto"/>
        <w:jc w:val="both"/>
        <w:rPr>
          <w:rFonts w:ascii="Times New Roman" w:hAnsi="Times New Roman"/>
          <w:sz w:val="24"/>
        </w:rPr>
      </w:pPr>
    </w:p>
    <w:p w14:paraId="4F5CE66D" w14:textId="2EA27E59" w:rsidR="00B811FB" w:rsidRDefault="00673857" w:rsidP="001278D2">
      <w:pPr>
        <w:pStyle w:val="ListParagraph"/>
        <w:numPr>
          <w:ilvl w:val="0"/>
          <w:numId w:val="1"/>
        </w:numPr>
        <w:spacing w:line="360" w:lineRule="auto"/>
        <w:jc w:val="both"/>
        <w:rPr>
          <w:rFonts w:ascii="Times New Roman" w:hAnsi="Times New Roman"/>
          <w:sz w:val="24"/>
        </w:rPr>
      </w:pPr>
      <w:r>
        <w:rPr>
          <w:rFonts w:ascii="Times New Roman" w:hAnsi="Times New Roman"/>
          <w:sz w:val="24"/>
        </w:rPr>
        <w:lastRenderedPageBreak/>
        <w:t xml:space="preserve">National policy is clear </w:t>
      </w:r>
      <w:r w:rsidR="006E21D6">
        <w:rPr>
          <w:rFonts w:ascii="Times New Roman" w:hAnsi="Times New Roman"/>
          <w:sz w:val="24"/>
        </w:rPr>
        <w:t>that developments should be sympathetic to local character and history, including</w:t>
      </w:r>
      <w:r w:rsidR="00AA25C1">
        <w:rPr>
          <w:rFonts w:ascii="Times New Roman" w:hAnsi="Times New Roman"/>
          <w:sz w:val="24"/>
        </w:rPr>
        <w:t xml:space="preserve"> the surrounding built environment and landscape setting</w:t>
      </w:r>
      <w:r w:rsidR="00AA25C1">
        <w:rPr>
          <w:rStyle w:val="FootnoteReference"/>
          <w:rFonts w:ascii="Times New Roman" w:hAnsi="Times New Roman"/>
          <w:sz w:val="24"/>
        </w:rPr>
        <w:footnoteReference w:id="2"/>
      </w:r>
      <w:r w:rsidR="004D7DCD">
        <w:rPr>
          <w:rFonts w:ascii="Times New Roman" w:hAnsi="Times New Roman"/>
          <w:sz w:val="24"/>
        </w:rPr>
        <w:t>. Planning policies should contribute to and enhance the natural and built environment by recognising the intrinsic character and beauty of the countryside</w:t>
      </w:r>
      <w:r w:rsidR="001C77FF">
        <w:rPr>
          <w:rStyle w:val="FootnoteReference"/>
          <w:rFonts w:ascii="Times New Roman" w:hAnsi="Times New Roman"/>
          <w:sz w:val="24"/>
        </w:rPr>
        <w:footnoteReference w:id="3"/>
      </w:r>
      <w:r w:rsidR="004D7DCD">
        <w:rPr>
          <w:rFonts w:ascii="Times New Roman" w:hAnsi="Times New Roman"/>
          <w:sz w:val="24"/>
        </w:rPr>
        <w:t>.</w:t>
      </w:r>
    </w:p>
    <w:p w14:paraId="6B607E07" w14:textId="77777777" w:rsidR="00E85EFF" w:rsidRPr="00E85EFF" w:rsidRDefault="00E85EFF" w:rsidP="00E85EFF">
      <w:pPr>
        <w:pStyle w:val="ListParagraph"/>
        <w:rPr>
          <w:rFonts w:ascii="Times New Roman" w:hAnsi="Times New Roman"/>
          <w:sz w:val="24"/>
        </w:rPr>
      </w:pPr>
    </w:p>
    <w:p w14:paraId="2AD5E936" w14:textId="74A34878" w:rsidR="00E85EFF" w:rsidRDefault="00E85EFF" w:rsidP="001278D2">
      <w:pPr>
        <w:pStyle w:val="ListParagraph"/>
        <w:numPr>
          <w:ilvl w:val="0"/>
          <w:numId w:val="1"/>
        </w:numPr>
        <w:spacing w:line="360" w:lineRule="auto"/>
        <w:jc w:val="both"/>
        <w:rPr>
          <w:rFonts w:ascii="Times New Roman" w:hAnsi="Times New Roman"/>
          <w:sz w:val="24"/>
        </w:rPr>
      </w:pPr>
      <w:r>
        <w:rPr>
          <w:rFonts w:ascii="Times New Roman" w:hAnsi="Times New Roman"/>
          <w:sz w:val="24"/>
        </w:rPr>
        <w:t>Local policy</w:t>
      </w:r>
      <w:r w:rsidR="00CA6319">
        <w:rPr>
          <w:rFonts w:ascii="Times New Roman" w:hAnsi="Times New Roman"/>
          <w:sz w:val="24"/>
        </w:rPr>
        <w:t xml:space="preserve"> (GE4 UDP) requires – given the visibility of the site from the Green belt – that the scale and character of development should be in keeping with the area</w:t>
      </w:r>
      <w:r w:rsidR="004C3F37">
        <w:rPr>
          <w:rFonts w:ascii="Times New Roman" w:hAnsi="Times New Roman"/>
          <w:sz w:val="24"/>
        </w:rPr>
        <w:t xml:space="preserve"> and wherever possible conserve and enhance the landscape and natural environment. </w:t>
      </w:r>
      <w:r w:rsidR="005F33D4">
        <w:rPr>
          <w:rFonts w:ascii="Times New Roman" w:hAnsi="Times New Roman"/>
          <w:sz w:val="24"/>
        </w:rPr>
        <w:t>The site is also within an Open Space Area in the</w:t>
      </w:r>
      <w:r w:rsidR="00A21E4F">
        <w:rPr>
          <w:rFonts w:ascii="Times New Roman" w:hAnsi="Times New Roman"/>
          <w:sz w:val="24"/>
        </w:rPr>
        <w:t xml:space="preserve"> UDP where development will not be permitted where it would harm the character of an area or harm the rural character of a wedge of countryside (LR5(</w:t>
      </w:r>
      <w:r w:rsidR="0076731B">
        <w:rPr>
          <w:rFonts w:ascii="Times New Roman" w:hAnsi="Times New Roman"/>
          <w:sz w:val="24"/>
        </w:rPr>
        <w:t>i</w:t>
      </w:r>
      <w:r w:rsidR="00A21E4F">
        <w:rPr>
          <w:rFonts w:ascii="Times New Roman" w:hAnsi="Times New Roman"/>
          <w:sz w:val="24"/>
        </w:rPr>
        <w:t xml:space="preserve"> and j). </w:t>
      </w:r>
      <w:r w:rsidR="00AC5513">
        <w:rPr>
          <w:rFonts w:ascii="Times New Roman" w:hAnsi="Times New Roman"/>
          <w:sz w:val="24"/>
        </w:rPr>
        <w:t>CS47(b) of the Core strategy seeks to safeguard open space that is of high quality or of landscape valu</w:t>
      </w:r>
      <w:r w:rsidR="005A6A13">
        <w:rPr>
          <w:rFonts w:ascii="Times New Roman" w:hAnsi="Times New Roman"/>
          <w:sz w:val="24"/>
        </w:rPr>
        <w:t xml:space="preserve">e. </w:t>
      </w:r>
      <w:r w:rsidR="00471BE9">
        <w:rPr>
          <w:rFonts w:ascii="Times New Roman" w:hAnsi="Times New Roman"/>
          <w:sz w:val="24"/>
        </w:rPr>
        <w:t>The</w:t>
      </w:r>
      <w:r w:rsidR="005A6A13">
        <w:rPr>
          <w:rFonts w:ascii="Times New Roman" w:hAnsi="Times New Roman"/>
          <w:sz w:val="24"/>
        </w:rPr>
        <w:t xml:space="preserve"> land forms part of the open space protected by policy CS72 </w:t>
      </w:r>
      <w:r w:rsidR="00B8459E">
        <w:rPr>
          <w:rFonts w:ascii="Times New Roman" w:hAnsi="Times New Roman"/>
          <w:sz w:val="24"/>
        </w:rPr>
        <w:t>f</w:t>
      </w:r>
      <w:r w:rsidR="005A6A13">
        <w:rPr>
          <w:rFonts w:ascii="Times New Roman" w:hAnsi="Times New Roman"/>
          <w:sz w:val="24"/>
        </w:rPr>
        <w:t>or its green, open and rural character</w:t>
      </w:r>
      <w:r w:rsidR="0022189D">
        <w:rPr>
          <w:rFonts w:ascii="Times New Roman" w:hAnsi="Times New Roman"/>
          <w:sz w:val="24"/>
        </w:rPr>
        <w:t xml:space="preserve"> on the edge of a built up area. </w:t>
      </w:r>
      <w:r w:rsidR="0076731B">
        <w:rPr>
          <w:rFonts w:ascii="Times New Roman" w:hAnsi="Times New Roman"/>
          <w:sz w:val="24"/>
        </w:rPr>
        <w:t>T</w:t>
      </w:r>
      <w:r w:rsidR="0022189D">
        <w:rPr>
          <w:rFonts w:ascii="Times New Roman" w:hAnsi="Times New Roman"/>
          <w:sz w:val="24"/>
        </w:rPr>
        <w:t>he plan</w:t>
      </w:r>
      <w:r w:rsidR="007E13D8">
        <w:rPr>
          <w:rFonts w:ascii="Times New Roman" w:hAnsi="Times New Roman"/>
          <w:sz w:val="24"/>
        </w:rPr>
        <w:t xml:space="preserve"> describes the</w:t>
      </w:r>
      <w:r w:rsidR="0022189D">
        <w:rPr>
          <w:rFonts w:ascii="Times New Roman" w:hAnsi="Times New Roman"/>
          <w:sz w:val="24"/>
        </w:rPr>
        <w:t xml:space="preserve"> land at Hollin Busk </w:t>
      </w:r>
      <w:r w:rsidR="007E13D8">
        <w:rPr>
          <w:rFonts w:ascii="Times New Roman" w:hAnsi="Times New Roman"/>
          <w:sz w:val="24"/>
        </w:rPr>
        <w:t>a</w:t>
      </w:r>
      <w:r w:rsidR="0022189D">
        <w:rPr>
          <w:rFonts w:ascii="Times New Roman" w:hAnsi="Times New Roman"/>
          <w:sz w:val="24"/>
        </w:rPr>
        <w:t>s a large and integral part of the countryside south of Stock</w:t>
      </w:r>
      <w:r w:rsidR="00B10B69">
        <w:rPr>
          <w:rFonts w:ascii="Times New Roman" w:hAnsi="Times New Roman"/>
          <w:sz w:val="24"/>
        </w:rPr>
        <w:t xml:space="preserve">sbridge, prominent in local views and providing an important visual break between the settlements of Stockbridge and Deepcar. </w:t>
      </w:r>
    </w:p>
    <w:p w14:paraId="27E901D0" w14:textId="77777777" w:rsidR="0015346D" w:rsidRPr="0015346D" w:rsidRDefault="0015346D" w:rsidP="0015346D">
      <w:pPr>
        <w:pStyle w:val="ListParagraph"/>
        <w:rPr>
          <w:rFonts w:ascii="Times New Roman" w:hAnsi="Times New Roman"/>
          <w:sz w:val="24"/>
        </w:rPr>
      </w:pPr>
    </w:p>
    <w:p w14:paraId="6B9756C7" w14:textId="0AF8CBA6" w:rsidR="0015346D" w:rsidRDefault="0015346D" w:rsidP="001278D2">
      <w:pPr>
        <w:pStyle w:val="ListParagraph"/>
        <w:numPr>
          <w:ilvl w:val="0"/>
          <w:numId w:val="1"/>
        </w:numPr>
        <w:spacing w:line="360" w:lineRule="auto"/>
        <w:jc w:val="both"/>
        <w:rPr>
          <w:rFonts w:ascii="Times New Roman" w:hAnsi="Times New Roman"/>
          <w:sz w:val="24"/>
        </w:rPr>
      </w:pPr>
      <w:r>
        <w:rPr>
          <w:rFonts w:ascii="Times New Roman" w:hAnsi="Times New Roman"/>
          <w:sz w:val="24"/>
        </w:rPr>
        <w:t>There are three key elements to the Council’s objections under this heading</w:t>
      </w:r>
      <w:r w:rsidR="00440119">
        <w:rPr>
          <w:rFonts w:ascii="Times New Roman" w:hAnsi="Times New Roman"/>
          <w:sz w:val="24"/>
        </w:rPr>
        <w:t>, that fall to be considered in the above policy context</w:t>
      </w:r>
      <w:r>
        <w:rPr>
          <w:rFonts w:ascii="Times New Roman" w:hAnsi="Times New Roman"/>
          <w:sz w:val="24"/>
        </w:rPr>
        <w:t>:</w:t>
      </w:r>
    </w:p>
    <w:p w14:paraId="7F3225A7" w14:textId="77777777" w:rsidR="0015346D" w:rsidRPr="0015346D" w:rsidRDefault="0015346D" w:rsidP="0015346D">
      <w:pPr>
        <w:pStyle w:val="ListParagraph"/>
        <w:rPr>
          <w:rFonts w:ascii="Times New Roman" w:hAnsi="Times New Roman"/>
          <w:sz w:val="24"/>
        </w:rPr>
      </w:pPr>
    </w:p>
    <w:p w14:paraId="19C6EB00" w14:textId="20343E24" w:rsidR="0015346D" w:rsidRDefault="0015346D" w:rsidP="0015346D">
      <w:pPr>
        <w:pStyle w:val="ListParagraph"/>
        <w:numPr>
          <w:ilvl w:val="0"/>
          <w:numId w:val="4"/>
        </w:numPr>
        <w:spacing w:line="360" w:lineRule="auto"/>
        <w:jc w:val="both"/>
        <w:rPr>
          <w:rFonts w:ascii="Times New Roman" w:hAnsi="Times New Roman"/>
          <w:sz w:val="24"/>
        </w:rPr>
      </w:pPr>
      <w:r>
        <w:rPr>
          <w:rFonts w:ascii="Times New Roman" w:hAnsi="Times New Roman"/>
          <w:sz w:val="24"/>
        </w:rPr>
        <w:t>T</w:t>
      </w:r>
      <w:r w:rsidR="00FA452A">
        <w:rPr>
          <w:rFonts w:ascii="Times New Roman" w:hAnsi="Times New Roman"/>
          <w:sz w:val="24"/>
        </w:rPr>
        <w:t>h</w:t>
      </w:r>
      <w:r>
        <w:rPr>
          <w:rFonts w:ascii="Times New Roman" w:hAnsi="Times New Roman"/>
          <w:sz w:val="24"/>
        </w:rPr>
        <w:t>e landscape quality of the existing site and the immediate surrounding area and the resulting extent of harm to the character of the area;</w:t>
      </w:r>
    </w:p>
    <w:p w14:paraId="1C1789EE" w14:textId="793741A5" w:rsidR="0015346D" w:rsidRDefault="00A55D76" w:rsidP="0015346D">
      <w:pPr>
        <w:pStyle w:val="ListParagraph"/>
        <w:numPr>
          <w:ilvl w:val="0"/>
          <w:numId w:val="4"/>
        </w:numPr>
        <w:spacing w:line="360" w:lineRule="auto"/>
        <w:jc w:val="both"/>
        <w:rPr>
          <w:rFonts w:ascii="Times New Roman" w:hAnsi="Times New Roman"/>
          <w:sz w:val="24"/>
        </w:rPr>
      </w:pPr>
      <w:r>
        <w:rPr>
          <w:rFonts w:ascii="Times New Roman" w:hAnsi="Times New Roman"/>
          <w:sz w:val="24"/>
        </w:rPr>
        <w:t>The extent of harm to visual amenity at both local and wider levels;</w:t>
      </w:r>
    </w:p>
    <w:p w14:paraId="57DE4AC8" w14:textId="14A6F4E5" w:rsidR="00A55D76" w:rsidRDefault="00A55D76" w:rsidP="0015346D">
      <w:pPr>
        <w:pStyle w:val="ListParagraph"/>
        <w:numPr>
          <w:ilvl w:val="0"/>
          <w:numId w:val="4"/>
        </w:numPr>
        <w:spacing w:line="360" w:lineRule="auto"/>
        <w:jc w:val="both"/>
        <w:rPr>
          <w:rFonts w:ascii="Times New Roman" w:hAnsi="Times New Roman"/>
          <w:sz w:val="24"/>
        </w:rPr>
      </w:pPr>
      <w:r>
        <w:rPr>
          <w:rFonts w:ascii="Times New Roman" w:hAnsi="Times New Roman"/>
          <w:sz w:val="24"/>
        </w:rPr>
        <w:t xml:space="preserve">The role of the site in visually separating settlements and how the proposals undermine that role. </w:t>
      </w:r>
    </w:p>
    <w:p w14:paraId="640DB434" w14:textId="77777777" w:rsidR="00E80759" w:rsidRDefault="00E80759" w:rsidP="00E80759">
      <w:pPr>
        <w:pStyle w:val="ListParagraph"/>
        <w:spacing w:line="360" w:lineRule="auto"/>
        <w:ind w:left="1800"/>
        <w:jc w:val="both"/>
        <w:rPr>
          <w:rFonts w:ascii="Times New Roman" w:hAnsi="Times New Roman"/>
          <w:sz w:val="24"/>
        </w:rPr>
      </w:pPr>
    </w:p>
    <w:p w14:paraId="3D6B7B1F" w14:textId="7CB3E920" w:rsidR="00FA452A" w:rsidRDefault="002F5655" w:rsidP="00FA452A">
      <w:pPr>
        <w:pStyle w:val="ListParagraph"/>
        <w:numPr>
          <w:ilvl w:val="0"/>
          <w:numId w:val="1"/>
        </w:numPr>
        <w:spacing w:line="360" w:lineRule="auto"/>
        <w:jc w:val="both"/>
        <w:rPr>
          <w:rFonts w:ascii="Times New Roman" w:hAnsi="Times New Roman"/>
          <w:sz w:val="24"/>
        </w:rPr>
      </w:pPr>
      <w:r>
        <w:rPr>
          <w:rFonts w:ascii="Times New Roman" w:hAnsi="Times New Roman"/>
          <w:sz w:val="24"/>
          <w:u w:val="single"/>
        </w:rPr>
        <w:t xml:space="preserve">(a) </w:t>
      </w:r>
      <w:r w:rsidR="003248F3">
        <w:rPr>
          <w:rFonts w:ascii="Times New Roman" w:hAnsi="Times New Roman"/>
          <w:sz w:val="24"/>
          <w:u w:val="single"/>
        </w:rPr>
        <w:t>Landscape quality</w:t>
      </w:r>
      <w:r w:rsidR="003248F3">
        <w:rPr>
          <w:rFonts w:ascii="Times New Roman" w:hAnsi="Times New Roman"/>
          <w:sz w:val="24"/>
        </w:rPr>
        <w:t>: Mr Ares considers the site character to be typical of the pastoral uplands of this part of Sheffield</w:t>
      </w:r>
      <w:r w:rsidR="002D793C">
        <w:rPr>
          <w:rFonts w:ascii="Times New Roman" w:hAnsi="Times New Roman"/>
          <w:sz w:val="24"/>
        </w:rPr>
        <w:t xml:space="preserve"> (the appeal site lies within the Pastoral Hills and Ridges character area of the Sheffield Preliminary Landscape Character Assessment</w:t>
      </w:r>
      <w:r w:rsidR="002D793C">
        <w:rPr>
          <w:rStyle w:val="FootnoteReference"/>
          <w:rFonts w:ascii="Times New Roman" w:hAnsi="Times New Roman"/>
          <w:sz w:val="24"/>
        </w:rPr>
        <w:footnoteReference w:id="4"/>
      </w:r>
      <w:r w:rsidR="002D793C">
        <w:rPr>
          <w:rFonts w:ascii="Times New Roman" w:hAnsi="Times New Roman"/>
          <w:sz w:val="24"/>
        </w:rPr>
        <w:t>)</w:t>
      </w:r>
      <w:r w:rsidR="003248F3">
        <w:rPr>
          <w:rFonts w:ascii="Times New Roman" w:hAnsi="Times New Roman"/>
          <w:sz w:val="24"/>
        </w:rPr>
        <w:t>, a</w:t>
      </w:r>
      <w:r w:rsidR="00496D48">
        <w:rPr>
          <w:rFonts w:ascii="Times New Roman" w:hAnsi="Times New Roman"/>
          <w:sz w:val="24"/>
        </w:rPr>
        <w:t>nd to display a consistent rural character. The pastoral fields, dry stone walls,</w:t>
      </w:r>
      <w:r w:rsidR="000A266B">
        <w:rPr>
          <w:rFonts w:ascii="Times New Roman" w:hAnsi="Times New Roman"/>
          <w:sz w:val="24"/>
        </w:rPr>
        <w:t xml:space="preserve"> wooded boundaries and openness combine to create a pleasant and scenic feel. </w:t>
      </w:r>
      <w:r w:rsidR="00A9082D">
        <w:rPr>
          <w:rFonts w:ascii="Times New Roman" w:hAnsi="Times New Roman"/>
          <w:sz w:val="24"/>
        </w:rPr>
        <w:t xml:space="preserve">Having regard </w:t>
      </w:r>
      <w:r w:rsidR="00A9082D">
        <w:rPr>
          <w:rFonts w:ascii="Times New Roman" w:hAnsi="Times New Roman"/>
          <w:sz w:val="24"/>
        </w:rPr>
        <w:lastRenderedPageBreak/>
        <w:t xml:space="preserve">to relevant </w:t>
      </w:r>
      <w:r w:rsidR="00D5543A">
        <w:rPr>
          <w:rFonts w:ascii="Times New Roman" w:hAnsi="Times New Roman"/>
          <w:sz w:val="24"/>
        </w:rPr>
        <w:t>factors within GLIVIA 3, box 5.1</w:t>
      </w:r>
      <w:r w:rsidR="00D5543A">
        <w:rPr>
          <w:rStyle w:val="FootnoteReference"/>
          <w:rFonts w:ascii="Times New Roman" w:hAnsi="Times New Roman"/>
          <w:sz w:val="24"/>
        </w:rPr>
        <w:footnoteReference w:id="5"/>
      </w:r>
      <w:r w:rsidR="00D5543A">
        <w:rPr>
          <w:rFonts w:ascii="Times New Roman" w:hAnsi="Times New Roman"/>
          <w:sz w:val="24"/>
        </w:rPr>
        <w:t xml:space="preserve">, Mr Ares considers that the </w:t>
      </w:r>
      <w:r w:rsidR="00F52E9C">
        <w:rPr>
          <w:rFonts w:ascii="Times New Roman" w:hAnsi="Times New Roman"/>
          <w:sz w:val="24"/>
        </w:rPr>
        <w:t xml:space="preserve">site is of high landscape quality. </w:t>
      </w:r>
      <w:r w:rsidR="00F538CD">
        <w:rPr>
          <w:rFonts w:ascii="Times New Roman" w:hAnsi="Times New Roman"/>
          <w:sz w:val="24"/>
        </w:rPr>
        <w:t>Having regard to the ability of this landscape to accommodate residential development of the scale proposed, Mr Ares considers th</w:t>
      </w:r>
      <w:r w:rsidR="00452AE7">
        <w:rPr>
          <w:rFonts w:ascii="Times New Roman" w:hAnsi="Times New Roman"/>
          <w:sz w:val="24"/>
        </w:rPr>
        <w:t xml:space="preserve">at the landscape sensitivity of the site is also </w:t>
      </w:r>
      <w:r w:rsidR="00EC1EAD">
        <w:rPr>
          <w:rFonts w:ascii="Times New Roman" w:hAnsi="Times New Roman"/>
          <w:sz w:val="24"/>
        </w:rPr>
        <w:t>h</w:t>
      </w:r>
      <w:r w:rsidR="00452AE7">
        <w:rPr>
          <w:rFonts w:ascii="Times New Roman" w:hAnsi="Times New Roman"/>
          <w:sz w:val="24"/>
        </w:rPr>
        <w:t>igh. The proposed development would result in the loss of the site’s landscape fabric</w:t>
      </w:r>
      <w:r w:rsidR="00771453">
        <w:rPr>
          <w:rFonts w:ascii="Times New Roman" w:hAnsi="Times New Roman"/>
          <w:sz w:val="24"/>
        </w:rPr>
        <w:t xml:space="preserve">, most obviously the loss of its open pastoral fields, as well as alterations to the boundary features. </w:t>
      </w:r>
      <w:r w:rsidR="00293E8E">
        <w:rPr>
          <w:rFonts w:ascii="Times New Roman" w:hAnsi="Times New Roman"/>
          <w:sz w:val="24"/>
        </w:rPr>
        <w:t>The magnitude of landscape effects would be high. Overall</w:t>
      </w:r>
      <w:r w:rsidR="0024065E">
        <w:rPr>
          <w:rFonts w:ascii="Times New Roman" w:hAnsi="Times New Roman"/>
          <w:sz w:val="24"/>
        </w:rPr>
        <w:t xml:space="preserve">, Mr Ares disagrees with the conclusion of the submitted LVIA that the immediate impact on the site was moderate adverse reducing to </w:t>
      </w:r>
      <w:r w:rsidR="00957A38">
        <w:rPr>
          <w:rFonts w:ascii="Times New Roman" w:hAnsi="Times New Roman"/>
          <w:sz w:val="24"/>
        </w:rPr>
        <w:t xml:space="preserve">moderate/minor adverse. The result is an overall finding of significant harm </w:t>
      </w:r>
      <w:r w:rsidR="000E4CB1">
        <w:rPr>
          <w:rFonts w:ascii="Times New Roman" w:hAnsi="Times New Roman"/>
          <w:sz w:val="24"/>
        </w:rPr>
        <w:t xml:space="preserve">with major adverse effects on </w:t>
      </w:r>
      <w:r w:rsidR="00957A38">
        <w:rPr>
          <w:rFonts w:ascii="Times New Roman" w:hAnsi="Times New Roman"/>
          <w:sz w:val="24"/>
        </w:rPr>
        <w:t>the landscape character of the site and immedi</w:t>
      </w:r>
      <w:r>
        <w:rPr>
          <w:rFonts w:ascii="Times New Roman" w:hAnsi="Times New Roman"/>
          <w:sz w:val="24"/>
        </w:rPr>
        <w:t xml:space="preserve">ate surrounding area. </w:t>
      </w:r>
    </w:p>
    <w:p w14:paraId="7F04ED4B" w14:textId="77777777" w:rsidR="00E80759" w:rsidRDefault="00E80759" w:rsidP="00E80759">
      <w:pPr>
        <w:pStyle w:val="ListParagraph"/>
        <w:spacing w:line="360" w:lineRule="auto"/>
        <w:jc w:val="both"/>
        <w:rPr>
          <w:rFonts w:ascii="Times New Roman" w:hAnsi="Times New Roman"/>
          <w:sz w:val="24"/>
        </w:rPr>
      </w:pPr>
    </w:p>
    <w:p w14:paraId="56A7BA3E" w14:textId="157FC3DD" w:rsidR="002F5655" w:rsidRDefault="002F5655" w:rsidP="00FA452A">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(b) </w:t>
      </w:r>
      <w:r>
        <w:rPr>
          <w:rFonts w:ascii="Times New Roman" w:hAnsi="Times New Roman"/>
          <w:sz w:val="24"/>
          <w:u w:val="single"/>
        </w:rPr>
        <w:t>Visual amenity</w:t>
      </w:r>
      <w:r>
        <w:rPr>
          <w:rFonts w:ascii="Times New Roman" w:hAnsi="Times New Roman"/>
          <w:sz w:val="24"/>
        </w:rPr>
        <w:t xml:space="preserve">: </w:t>
      </w:r>
      <w:r w:rsidR="00122B6E">
        <w:rPr>
          <w:rFonts w:ascii="Times New Roman" w:hAnsi="Times New Roman"/>
          <w:sz w:val="24"/>
        </w:rPr>
        <w:t>Mr Ares has reviewed the</w:t>
      </w:r>
      <w:r w:rsidR="00E75762">
        <w:rPr>
          <w:rFonts w:ascii="Times New Roman" w:hAnsi="Times New Roman"/>
          <w:sz w:val="24"/>
        </w:rPr>
        <w:t xml:space="preserve"> likely visual receptors, including those longer distance views</w:t>
      </w:r>
      <w:r w:rsidR="0004758D">
        <w:rPr>
          <w:rFonts w:ascii="Times New Roman" w:hAnsi="Times New Roman"/>
          <w:sz w:val="24"/>
        </w:rPr>
        <w:t xml:space="preserve"> north of the site omitted from the LVIA</w:t>
      </w:r>
      <w:r w:rsidR="00914A53">
        <w:rPr>
          <w:rStyle w:val="FootnoteReference"/>
          <w:rFonts w:ascii="Times New Roman" w:hAnsi="Times New Roman"/>
          <w:sz w:val="24"/>
        </w:rPr>
        <w:footnoteReference w:id="6"/>
      </w:r>
      <w:r w:rsidR="00D45EEB">
        <w:rPr>
          <w:rFonts w:ascii="Times New Roman" w:hAnsi="Times New Roman"/>
          <w:sz w:val="24"/>
        </w:rPr>
        <w:t xml:space="preserve">, which are all high sensitivity. </w:t>
      </w:r>
      <w:r w:rsidR="00DC31C8">
        <w:rPr>
          <w:rFonts w:ascii="Times New Roman" w:hAnsi="Times New Roman"/>
          <w:sz w:val="24"/>
        </w:rPr>
        <w:t>Hr has also reviewed the s</w:t>
      </w:r>
      <w:r w:rsidR="00555F0B">
        <w:rPr>
          <w:rFonts w:ascii="Times New Roman" w:hAnsi="Times New Roman"/>
          <w:sz w:val="24"/>
        </w:rPr>
        <w:t>ensi</w:t>
      </w:r>
      <w:r w:rsidR="00B8459E">
        <w:rPr>
          <w:rFonts w:ascii="Times New Roman" w:hAnsi="Times New Roman"/>
          <w:sz w:val="24"/>
        </w:rPr>
        <w:t>ti</w:t>
      </w:r>
      <w:r w:rsidR="00555F0B">
        <w:rPr>
          <w:rFonts w:ascii="Times New Roman" w:hAnsi="Times New Roman"/>
          <w:sz w:val="24"/>
        </w:rPr>
        <w:t>vity of the identified views, noting that those in close proximity to the site along Carr Road</w:t>
      </w:r>
      <w:r w:rsidR="00B51451">
        <w:rPr>
          <w:rFonts w:ascii="Times New Roman" w:hAnsi="Times New Roman"/>
          <w:sz w:val="24"/>
        </w:rPr>
        <w:t xml:space="preserve"> and Hollin Busk Lane which do not </w:t>
      </w:r>
      <w:r w:rsidR="00B8459E">
        <w:rPr>
          <w:rFonts w:ascii="Times New Roman" w:hAnsi="Times New Roman"/>
          <w:sz w:val="24"/>
        </w:rPr>
        <w:t>reflect</w:t>
      </w:r>
      <w:r w:rsidR="00B51451">
        <w:rPr>
          <w:rFonts w:ascii="Times New Roman" w:hAnsi="Times New Roman"/>
          <w:sz w:val="24"/>
        </w:rPr>
        <w:t xml:space="preserve"> their uses by pedestrians along the footway. </w:t>
      </w:r>
      <w:r w:rsidR="0049283A">
        <w:rPr>
          <w:rFonts w:ascii="Times New Roman" w:hAnsi="Times New Roman"/>
          <w:sz w:val="24"/>
        </w:rPr>
        <w:t>Mr Ares has assessed the magnitude of effect from the identified representative viewpoints and combined this with the sensiti</w:t>
      </w:r>
      <w:r w:rsidR="008E164D">
        <w:rPr>
          <w:rFonts w:ascii="Times New Roman" w:hAnsi="Times New Roman"/>
          <w:sz w:val="24"/>
        </w:rPr>
        <w:t>vity and value of the views to identify the significance of visual effects.</w:t>
      </w:r>
      <w:r w:rsidR="00B02387">
        <w:rPr>
          <w:rFonts w:ascii="Times New Roman" w:hAnsi="Times New Roman"/>
          <w:sz w:val="24"/>
        </w:rPr>
        <w:t xml:space="preserve"> He </w:t>
      </w:r>
      <w:r w:rsidR="00B8459E">
        <w:rPr>
          <w:rFonts w:ascii="Times New Roman" w:hAnsi="Times New Roman"/>
          <w:sz w:val="24"/>
        </w:rPr>
        <w:t>concludes</w:t>
      </w:r>
      <w:r w:rsidR="00B02387">
        <w:rPr>
          <w:rFonts w:ascii="Times New Roman" w:hAnsi="Times New Roman"/>
          <w:sz w:val="24"/>
        </w:rPr>
        <w:t xml:space="preserve"> in those near </w:t>
      </w:r>
      <w:r w:rsidR="00B8459E">
        <w:rPr>
          <w:rFonts w:ascii="Times New Roman" w:hAnsi="Times New Roman"/>
          <w:sz w:val="24"/>
        </w:rPr>
        <w:t>viewpoints</w:t>
      </w:r>
      <w:r w:rsidR="00B02387">
        <w:rPr>
          <w:rFonts w:ascii="Times New Roman" w:hAnsi="Times New Roman"/>
          <w:sz w:val="24"/>
        </w:rPr>
        <w:t xml:space="preserve"> including along Carr Road and Hollin Busk Lane there would be </w:t>
      </w:r>
      <w:r w:rsidR="00721F39">
        <w:rPr>
          <w:rFonts w:ascii="Times New Roman" w:hAnsi="Times New Roman"/>
          <w:sz w:val="24"/>
        </w:rPr>
        <w:t xml:space="preserve">major adverse visual impact taking into account the </w:t>
      </w:r>
      <w:r w:rsidR="00B8459E">
        <w:rPr>
          <w:rFonts w:ascii="Times New Roman" w:hAnsi="Times New Roman"/>
          <w:sz w:val="24"/>
        </w:rPr>
        <w:t>totality</w:t>
      </w:r>
      <w:r w:rsidR="00721F39">
        <w:rPr>
          <w:rFonts w:ascii="Times New Roman" w:hAnsi="Times New Roman"/>
          <w:sz w:val="24"/>
        </w:rPr>
        <w:t xml:space="preserve"> of the development. From the northern viewpoints</w:t>
      </w:r>
      <w:r w:rsidR="006D509B">
        <w:rPr>
          <w:rFonts w:ascii="Times New Roman" w:hAnsi="Times New Roman"/>
          <w:sz w:val="24"/>
        </w:rPr>
        <w:t xml:space="preserve"> the impacts would be moderate adverse. </w:t>
      </w:r>
    </w:p>
    <w:p w14:paraId="0698925D" w14:textId="77777777" w:rsidR="00E80759" w:rsidRPr="00E80759" w:rsidRDefault="00E80759" w:rsidP="00E80759">
      <w:pPr>
        <w:pStyle w:val="ListParagraph"/>
        <w:rPr>
          <w:rFonts w:ascii="Times New Roman" w:hAnsi="Times New Roman"/>
          <w:sz w:val="24"/>
        </w:rPr>
      </w:pPr>
    </w:p>
    <w:p w14:paraId="676158D7" w14:textId="3FBBC6D8" w:rsidR="006D509B" w:rsidRDefault="006D509B" w:rsidP="00E80759">
      <w:pPr>
        <w:pStyle w:val="ListParagraph"/>
        <w:numPr>
          <w:ilvl w:val="0"/>
          <w:numId w:val="1"/>
        </w:numPr>
        <w:spacing w:line="360" w:lineRule="auto"/>
        <w:jc w:val="both"/>
        <w:rPr>
          <w:rFonts w:ascii="Times New Roman" w:hAnsi="Times New Roman"/>
          <w:sz w:val="24"/>
        </w:rPr>
      </w:pPr>
      <w:r w:rsidRPr="00E80759">
        <w:rPr>
          <w:rFonts w:ascii="Times New Roman" w:hAnsi="Times New Roman"/>
          <w:sz w:val="24"/>
        </w:rPr>
        <w:t xml:space="preserve">(c) </w:t>
      </w:r>
      <w:r w:rsidRPr="00E80759">
        <w:rPr>
          <w:rFonts w:ascii="Times New Roman" w:hAnsi="Times New Roman"/>
          <w:sz w:val="24"/>
          <w:u w:val="single"/>
        </w:rPr>
        <w:t>Separation of settlements</w:t>
      </w:r>
      <w:r w:rsidRPr="00E80759">
        <w:rPr>
          <w:rFonts w:ascii="Times New Roman" w:hAnsi="Times New Roman"/>
          <w:sz w:val="24"/>
        </w:rPr>
        <w:t xml:space="preserve">: </w:t>
      </w:r>
      <w:r w:rsidR="00920031" w:rsidRPr="00E80759">
        <w:rPr>
          <w:rFonts w:ascii="Times New Roman" w:hAnsi="Times New Roman"/>
          <w:sz w:val="24"/>
        </w:rPr>
        <w:t xml:space="preserve">The site forms part of a green gap </w:t>
      </w:r>
      <w:r w:rsidR="008B7C40" w:rsidRPr="00E80759">
        <w:rPr>
          <w:rFonts w:ascii="Times New Roman" w:hAnsi="Times New Roman"/>
          <w:sz w:val="24"/>
        </w:rPr>
        <w:t>which includes Green Belt to the north through the appeal site and F</w:t>
      </w:r>
      <w:r w:rsidR="00F21E10" w:rsidRPr="00E80759">
        <w:rPr>
          <w:rFonts w:ascii="Times New Roman" w:hAnsi="Times New Roman"/>
          <w:sz w:val="24"/>
        </w:rPr>
        <w:t>o</w:t>
      </w:r>
      <w:r w:rsidR="008B7C40" w:rsidRPr="00E80759">
        <w:rPr>
          <w:rFonts w:ascii="Times New Roman" w:hAnsi="Times New Roman"/>
          <w:sz w:val="24"/>
        </w:rPr>
        <w:t>x Glen to the south</w:t>
      </w:r>
      <w:r w:rsidR="004D01AF" w:rsidRPr="00E80759">
        <w:rPr>
          <w:rFonts w:ascii="Times New Roman" w:hAnsi="Times New Roman"/>
          <w:sz w:val="24"/>
        </w:rPr>
        <w:t xml:space="preserve"> towards the valley botto</w:t>
      </w:r>
      <w:r w:rsidR="006C646C" w:rsidRPr="00E80759">
        <w:rPr>
          <w:rFonts w:ascii="Times New Roman" w:hAnsi="Times New Roman"/>
          <w:sz w:val="24"/>
        </w:rPr>
        <w:t>m</w:t>
      </w:r>
      <w:r w:rsidR="00CE081D" w:rsidRPr="00E80759">
        <w:rPr>
          <w:rFonts w:ascii="Times New Roman" w:hAnsi="Times New Roman"/>
          <w:sz w:val="24"/>
        </w:rPr>
        <w:t xml:space="preserve"> (well-illustrated on p17 of the DAS</w:t>
      </w:r>
      <w:r w:rsidR="00CE081D">
        <w:rPr>
          <w:rStyle w:val="FootnoteReference"/>
          <w:rFonts w:ascii="Times New Roman" w:hAnsi="Times New Roman"/>
          <w:sz w:val="24"/>
        </w:rPr>
        <w:footnoteReference w:id="7"/>
      </w:r>
      <w:r w:rsidR="00CE081D" w:rsidRPr="00E80759">
        <w:rPr>
          <w:rFonts w:ascii="Times New Roman" w:hAnsi="Times New Roman"/>
          <w:sz w:val="24"/>
        </w:rPr>
        <w:t>)</w:t>
      </w:r>
      <w:r w:rsidR="004D01AF" w:rsidRPr="00E80759">
        <w:rPr>
          <w:rFonts w:ascii="Times New Roman" w:hAnsi="Times New Roman"/>
          <w:sz w:val="24"/>
        </w:rPr>
        <w:t xml:space="preserve">. It separates Royd (as part of Deepcar) and Holin Busk (as part of </w:t>
      </w:r>
      <w:r w:rsidR="007A1809" w:rsidRPr="00E80759">
        <w:rPr>
          <w:rFonts w:ascii="Times New Roman" w:hAnsi="Times New Roman"/>
          <w:sz w:val="24"/>
        </w:rPr>
        <w:t xml:space="preserve">Stocksbridge). </w:t>
      </w:r>
      <w:r w:rsidR="00B33137" w:rsidRPr="00E80759">
        <w:rPr>
          <w:rFonts w:ascii="Times New Roman" w:hAnsi="Times New Roman"/>
          <w:sz w:val="24"/>
        </w:rPr>
        <w:t xml:space="preserve">The nature of the development proposals would alter significantly the role of the appeal site as part of this wedge and undermine its separating function despite its clear policy protection. </w:t>
      </w:r>
      <w:r w:rsidR="008D447C" w:rsidRPr="00E80759">
        <w:rPr>
          <w:rFonts w:ascii="Times New Roman" w:hAnsi="Times New Roman"/>
          <w:sz w:val="24"/>
        </w:rPr>
        <w:t xml:space="preserve">The fact that the proposals do not fill the gap is not the point. They introduce significant suburban development into open countryside whose openness is fundamental to its function. </w:t>
      </w:r>
      <w:r w:rsidR="00EC026A" w:rsidRPr="00E80759">
        <w:rPr>
          <w:rFonts w:ascii="Times New Roman" w:hAnsi="Times New Roman"/>
          <w:sz w:val="24"/>
        </w:rPr>
        <w:t xml:space="preserve">As noted in the </w:t>
      </w:r>
      <w:r w:rsidR="00EC026A" w:rsidRPr="00E80759">
        <w:rPr>
          <w:rFonts w:ascii="Times New Roman" w:hAnsi="Times New Roman"/>
          <w:sz w:val="24"/>
        </w:rPr>
        <w:lastRenderedPageBreak/>
        <w:t>heritage section these fields have performed their existing open, pastoral function for centuries.</w:t>
      </w:r>
    </w:p>
    <w:p w14:paraId="167DF5DB" w14:textId="77777777" w:rsidR="00E80759" w:rsidRPr="00E80759" w:rsidRDefault="00E80759" w:rsidP="00E80759">
      <w:pPr>
        <w:pStyle w:val="ListParagraph"/>
        <w:rPr>
          <w:rFonts w:ascii="Times New Roman" w:hAnsi="Times New Roman"/>
          <w:sz w:val="24"/>
        </w:rPr>
      </w:pPr>
    </w:p>
    <w:p w14:paraId="65A5D799" w14:textId="0C12351E" w:rsidR="00EC026A" w:rsidRPr="00E80759" w:rsidRDefault="00EC026A" w:rsidP="00E80759">
      <w:pPr>
        <w:pStyle w:val="ListParagraph"/>
        <w:numPr>
          <w:ilvl w:val="0"/>
          <w:numId w:val="1"/>
        </w:numPr>
        <w:spacing w:line="360" w:lineRule="auto"/>
        <w:jc w:val="both"/>
        <w:rPr>
          <w:rFonts w:ascii="Times New Roman" w:hAnsi="Times New Roman"/>
          <w:sz w:val="24"/>
        </w:rPr>
      </w:pPr>
      <w:r w:rsidRPr="00E80759">
        <w:rPr>
          <w:rFonts w:ascii="Times New Roman" w:hAnsi="Times New Roman"/>
          <w:sz w:val="24"/>
        </w:rPr>
        <w:t xml:space="preserve">For these reasons, the </w:t>
      </w:r>
      <w:r w:rsidR="009F6CFA" w:rsidRPr="00E80759">
        <w:rPr>
          <w:rFonts w:ascii="Times New Roman" w:hAnsi="Times New Roman"/>
          <w:sz w:val="24"/>
        </w:rPr>
        <w:t xml:space="preserve">appeal proposals are considered to be contrary to the policies identified above, and the first reason for refusal is made out. </w:t>
      </w:r>
    </w:p>
    <w:p w14:paraId="3A2A4EAC" w14:textId="1F483FFF" w:rsidR="00FD33D6" w:rsidRPr="001278D2" w:rsidRDefault="00FD33D6" w:rsidP="001278D2">
      <w:pPr>
        <w:spacing w:line="360" w:lineRule="auto"/>
        <w:jc w:val="both"/>
        <w:rPr>
          <w:rFonts w:ascii="Times New Roman" w:hAnsi="Times New Roman"/>
          <w:sz w:val="24"/>
        </w:rPr>
      </w:pPr>
    </w:p>
    <w:p w14:paraId="31CBE863" w14:textId="25254BFC" w:rsidR="00FD33D6" w:rsidRPr="001278D2" w:rsidRDefault="00FD33D6" w:rsidP="001278D2">
      <w:pPr>
        <w:spacing w:line="360" w:lineRule="auto"/>
        <w:jc w:val="both"/>
        <w:rPr>
          <w:rFonts w:ascii="Times New Roman" w:hAnsi="Times New Roman"/>
          <w:sz w:val="24"/>
        </w:rPr>
      </w:pPr>
      <w:r w:rsidRPr="001278D2">
        <w:rPr>
          <w:rFonts w:ascii="Times New Roman" w:hAnsi="Times New Roman"/>
          <w:b/>
          <w:bCs/>
          <w:sz w:val="24"/>
        </w:rPr>
        <w:t>Issue 2: Listed buildings</w:t>
      </w:r>
    </w:p>
    <w:p w14:paraId="0D3C5E22" w14:textId="6A34E741" w:rsidR="00C81169" w:rsidRDefault="007C2133" w:rsidP="001278D2">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 Council relies on the evidence of Ruth Masood. This issue will be addressed by way of </w:t>
      </w:r>
      <w:r w:rsidR="0079319A">
        <w:rPr>
          <w:rFonts w:ascii="Times New Roman" w:hAnsi="Times New Roman"/>
          <w:sz w:val="24"/>
        </w:rPr>
        <w:t>round</w:t>
      </w:r>
      <w:r>
        <w:rPr>
          <w:rFonts w:ascii="Times New Roman" w:hAnsi="Times New Roman"/>
          <w:sz w:val="24"/>
        </w:rPr>
        <w:t xml:space="preserve">-table session. </w:t>
      </w:r>
    </w:p>
    <w:p w14:paraId="2498C1CC" w14:textId="77777777" w:rsidR="0079319A" w:rsidRDefault="0079319A" w:rsidP="0079319A">
      <w:pPr>
        <w:pStyle w:val="ListParagraph"/>
        <w:spacing w:line="360" w:lineRule="auto"/>
        <w:jc w:val="both"/>
        <w:rPr>
          <w:rFonts w:ascii="Times New Roman" w:hAnsi="Times New Roman"/>
          <w:sz w:val="24"/>
        </w:rPr>
      </w:pPr>
    </w:p>
    <w:p w14:paraId="22E0B6A0" w14:textId="0A988E85" w:rsidR="00A433D4" w:rsidRDefault="00A433D4" w:rsidP="001278D2">
      <w:pPr>
        <w:pStyle w:val="ListParagraph"/>
        <w:numPr>
          <w:ilvl w:val="0"/>
          <w:numId w:val="1"/>
        </w:numPr>
        <w:spacing w:line="360" w:lineRule="auto"/>
        <w:jc w:val="both"/>
        <w:rPr>
          <w:rFonts w:ascii="Times New Roman" w:hAnsi="Times New Roman"/>
          <w:sz w:val="24"/>
        </w:rPr>
      </w:pPr>
      <w:r w:rsidRPr="001278D2">
        <w:rPr>
          <w:rFonts w:ascii="Times New Roman" w:hAnsi="Times New Roman"/>
          <w:sz w:val="24"/>
        </w:rPr>
        <w:t>There is agreement as to the assets affected</w:t>
      </w:r>
      <w:r w:rsidR="008438E9" w:rsidRPr="001278D2">
        <w:rPr>
          <w:rFonts w:ascii="Times New Roman" w:hAnsi="Times New Roman"/>
          <w:sz w:val="24"/>
        </w:rPr>
        <w:t xml:space="preserve"> being </w:t>
      </w:r>
      <w:r w:rsidR="00581768" w:rsidRPr="001278D2">
        <w:rPr>
          <w:rFonts w:ascii="Times New Roman" w:hAnsi="Times New Roman"/>
          <w:sz w:val="24"/>
        </w:rPr>
        <w:t xml:space="preserve">Royd Farmhouse and Barn, each of which is listed at grade II. It also agreed that the appeal site forms part of the setting to </w:t>
      </w:r>
      <w:r w:rsidR="00C71262" w:rsidRPr="001278D2">
        <w:rPr>
          <w:rFonts w:ascii="Times New Roman" w:hAnsi="Times New Roman"/>
          <w:sz w:val="24"/>
        </w:rPr>
        <w:t>those buildings makes a positive contribution to th</w:t>
      </w:r>
      <w:r w:rsidR="00D56E3A">
        <w:rPr>
          <w:rFonts w:ascii="Times New Roman" w:hAnsi="Times New Roman"/>
          <w:sz w:val="24"/>
        </w:rPr>
        <w:t>eir significance</w:t>
      </w:r>
      <w:r w:rsidR="00C71262" w:rsidRPr="001278D2">
        <w:rPr>
          <w:rStyle w:val="FootnoteReference"/>
          <w:rFonts w:ascii="Times New Roman" w:hAnsi="Times New Roman"/>
          <w:sz w:val="24"/>
        </w:rPr>
        <w:footnoteReference w:id="8"/>
      </w:r>
      <w:r w:rsidR="00C71262" w:rsidRPr="001278D2">
        <w:rPr>
          <w:rFonts w:ascii="Times New Roman" w:hAnsi="Times New Roman"/>
          <w:sz w:val="24"/>
        </w:rPr>
        <w:t>. It is further agreed that the proposed development wi</w:t>
      </w:r>
      <w:r w:rsidR="00D56E3A">
        <w:rPr>
          <w:rFonts w:ascii="Times New Roman" w:hAnsi="Times New Roman"/>
          <w:sz w:val="24"/>
        </w:rPr>
        <w:t>l</w:t>
      </w:r>
      <w:r w:rsidR="00C71262" w:rsidRPr="001278D2">
        <w:rPr>
          <w:rFonts w:ascii="Times New Roman" w:hAnsi="Times New Roman"/>
          <w:sz w:val="24"/>
        </w:rPr>
        <w:t>l form a change in the setting of Royd Farmhouse and the Barns an</w:t>
      </w:r>
      <w:r w:rsidR="00D56E3A">
        <w:rPr>
          <w:rFonts w:ascii="Times New Roman" w:hAnsi="Times New Roman"/>
          <w:sz w:val="24"/>
        </w:rPr>
        <w:t>d</w:t>
      </w:r>
      <w:r w:rsidR="00C71262" w:rsidRPr="001278D2">
        <w:rPr>
          <w:rFonts w:ascii="Times New Roman" w:hAnsi="Times New Roman"/>
          <w:sz w:val="24"/>
        </w:rPr>
        <w:t xml:space="preserve"> Associated Outbuildings</w:t>
      </w:r>
      <w:r w:rsidR="00422364" w:rsidRPr="001278D2">
        <w:rPr>
          <w:rFonts w:ascii="Times New Roman" w:hAnsi="Times New Roman"/>
          <w:sz w:val="24"/>
        </w:rPr>
        <w:t>, and that this change will cause harm to the significance of the assets. The principal disputes relate to (a) the degree of contribution to the significance of the listed buildings made by their setting and the appeal site as part of it, and (b) the degree of impact on significance</w:t>
      </w:r>
      <w:r w:rsidR="00B0577C" w:rsidRPr="001278D2">
        <w:rPr>
          <w:rFonts w:ascii="Times New Roman" w:hAnsi="Times New Roman"/>
          <w:sz w:val="24"/>
        </w:rPr>
        <w:t>. The Council, through M</w:t>
      </w:r>
      <w:r w:rsidR="0079319A">
        <w:rPr>
          <w:rFonts w:ascii="Times New Roman" w:hAnsi="Times New Roman"/>
          <w:sz w:val="24"/>
        </w:rPr>
        <w:t>r</w:t>
      </w:r>
      <w:r w:rsidR="00B0577C" w:rsidRPr="001278D2">
        <w:rPr>
          <w:rFonts w:ascii="Times New Roman" w:hAnsi="Times New Roman"/>
          <w:sz w:val="24"/>
        </w:rPr>
        <w:t xml:space="preserve">s </w:t>
      </w:r>
      <w:r w:rsidR="008334BE" w:rsidRPr="001278D2">
        <w:rPr>
          <w:rFonts w:ascii="Times New Roman" w:hAnsi="Times New Roman"/>
          <w:sz w:val="24"/>
        </w:rPr>
        <w:t xml:space="preserve">Masood, </w:t>
      </w:r>
      <w:r w:rsidR="004E7821" w:rsidRPr="001278D2">
        <w:rPr>
          <w:rFonts w:ascii="Times New Roman" w:hAnsi="Times New Roman"/>
          <w:sz w:val="24"/>
        </w:rPr>
        <w:t>assess th</w:t>
      </w:r>
      <w:r w:rsidR="00930511" w:rsidRPr="001278D2">
        <w:rPr>
          <w:rFonts w:ascii="Times New Roman" w:hAnsi="Times New Roman"/>
          <w:sz w:val="24"/>
        </w:rPr>
        <w:t>e</w:t>
      </w:r>
      <w:r w:rsidR="004E7821" w:rsidRPr="001278D2">
        <w:rPr>
          <w:rFonts w:ascii="Times New Roman" w:hAnsi="Times New Roman"/>
          <w:sz w:val="24"/>
        </w:rPr>
        <w:t xml:space="preserve"> harm as substantial, and the Appellant, through Mr Bourn, assesses it as less than substantial.</w:t>
      </w:r>
    </w:p>
    <w:p w14:paraId="6DFFBF76" w14:textId="77777777" w:rsidR="00E80759" w:rsidRPr="001278D2" w:rsidRDefault="00E80759" w:rsidP="00E80759">
      <w:pPr>
        <w:pStyle w:val="ListParagraph"/>
        <w:spacing w:line="360" w:lineRule="auto"/>
        <w:jc w:val="both"/>
        <w:rPr>
          <w:rFonts w:ascii="Times New Roman" w:hAnsi="Times New Roman"/>
          <w:sz w:val="24"/>
        </w:rPr>
      </w:pPr>
    </w:p>
    <w:p w14:paraId="1DAF26AD" w14:textId="0760F6B9" w:rsidR="00930511" w:rsidRDefault="00930511" w:rsidP="001278D2">
      <w:pPr>
        <w:pStyle w:val="ListParagraph"/>
        <w:numPr>
          <w:ilvl w:val="0"/>
          <w:numId w:val="1"/>
        </w:numPr>
        <w:spacing w:line="360" w:lineRule="auto"/>
        <w:jc w:val="both"/>
        <w:rPr>
          <w:rFonts w:ascii="Times New Roman" w:hAnsi="Times New Roman"/>
          <w:sz w:val="24"/>
        </w:rPr>
      </w:pPr>
      <w:r w:rsidRPr="001278D2">
        <w:rPr>
          <w:rFonts w:ascii="Times New Roman" w:hAnsi="Times New Roman"/>
          <w:sz w:val="24"/>
        </w:rPr>
        <w:t xml:space="preserve">National Policy is set out through the NPPF and the NPPG. </w:t>
      </w:r>
      <w:r w:rsidR="00504B8C" w:rsidRPr="001278D2">
        <w:rPr>
          <w:rFonts w:ascii="Times New Roman" w:hAnsi="Times New Roman"/>
          <w:sz w:val="24"/>
        </w:rPr>
        <w:t>It is clear that</w:t>
      </w:r>
      <w:r w:rsidR="001320D5" w:rsidRPr="001278D2">
        <w:rPr>
          <w:rFonts w:ascii="Times New Roman" w:hAnsi="Times New Roman"/>
          <w:sz w:val="24"/>
        </w:rPr>
        <w:t xml:space="preserve"> in considering the impact of a proposal on the significance of a listed building great weight should be given to the asset’s conservation</w:t>
      </w:r>
      <w:r w:rsidR="00383D61" w:rsidRPr="001278D2">
        <w:rPr>
          <w:rFonts w:ascii="Times New Roman" w:hAnsi="Times New Roman"/>
          <w:sz w:val="24"/>
        </w:rPr>
        <w:t xml:space="preserve">. This is irrespective of whether any potential harm amounts to substantial harm, total loss or less than substantial harm to its significance. </w:t>
      </w:r>
      <w:r w:rsidR="009A2496" w:rsidRPr="001278D2">
        <w:rPr>
          <w:rFonts w:ascii="Times New Roman" w:hAnsi="Times New Roman"/>
          <w:sz w:val="24"/>
        </w:rPr>
        <w:t>Any harm to the significance of a heritage asset requires clear and convincing justification</w:t>
      </w:r>
      <w:r w:rsidR="009A2496" w:rsidRPr="001278D2">
        <w:rPr>
          <w:rStyle w:val="FootnoteReference"/>
          <w:rFonts w:ascii="Times New Roman" w:hAnsi="Times New Roman"/>
          <w:sz w:val="24"/>
        </w:rPr>
        <w:footnoteReference w:id="9"/>
      </w:r>
      <w:r w:rsidR="001F11FD" w:rsidRPr="001278D2">
        <w:rPr>
          <w:rFonts w:ascii="Times New Roman" w:hAnsi="Times New Roman"/>
          <w:sz w:val="24"/>
        </w:rPr>
        <w:t>.</w:t>
      </w:r>
    </w:p>
    <w:p w14:paraId="6671CCA7" w14:textId="77777777" w:rsidR="00E80759" w:rsidRPr="00E80759" w:rsidRDefault="00E80759" w:rsidP="00E80759">
      <w:pPr>
        <w:pStyle w:val="ListParagraph"/>
        <w:rPr>
          <w:rFonts w:ascii="Times New Roman" w:hAnsi="Times New Roman"/>
          <w:sz w:val="24"/>
        </w:rPr>
      </w:pPr>
    </w:p>
    <w:p w14:paraId="18C243DF" w14:textId="7AEB7A3E" w:rsidR="001F11FD" w:rsidRDefault="001F11FD" w:rsidP="00E80759">
      <w:pPr>
        <w:pStyle w:val="ListParagraph"/>
        <w:numPr>
          <w:ilvl w:val="0"/>
          <w:numId w:val="1"/>
        </w:numPr>
        <w:spacing w:line="360" w:lineRule="auto"/>
        <w:jc w:val="both"/>
        <w:rPr>
          <w:rFonts w:ascii="Times New Roman" w:hAnsi="Times New Roman"/>
          <w:sz w:val="24"/>
        </w:rPr>
      </w:pPr>
      <w:r w:rsidRPr="00E80759">
        <w:rPr>
          <w:rFonts w:ascii="Times New Roman" w:hAnsi="Times New Roman"/>
          <w:sz w:val="24"/>
        </w:rPr>
        <w:t>Different policy tests apply in relation to substantial and less than substantial harm (in NPPF 195 and 196 respectively</w:t>
      </w:r>
      <w:r w:rsidR="000B7AD3">
        <w:rPr>
          <w:rFonts w:ascii="Times New Roman" w:hAnsi="Times New Roman"/>
          <w:sz w:val="24"/>
        </w:rPr>
        <w:t>)</w:t>
      </w:r>
      <w:r w:rsidR="00D76B17" w:rsidRPr="00E80759">
        <w:rPr>
          <w:rFonts w:ascii="Times New Roman" w:hAnsi="Times New Roman"/>
          <w:sz w:val="24"/>
        </w:rPr>
        <w:t>. The Government has provided specific guidance on this threshold in the PPG</w:t>
      </w:r>
      <w:r w:rsidR="00845C38" w:rsidRPr="00E80759">
        <w:rPr>
          <w:rFonts w:ascii="Times New Roman" w:hAnsi="Times New Roman"/>
          <w:sz w:val="24"/>
        </w:rPr>
        <w:t>. Sub</w:t>
      </w:r>
      <w:r w:rsidR="003630FD" w:rsidRPr="00E80759">
        <w:rPr>
          <w:rFonts w:ascii="Times New Roman" w:hAnsi="Times New Roman"/>
          <w:sz w:val="24"/>
        </w:rPr>
        <w:t>s</w:t>
      </w:r>
      <w:r w:rsidR="00845C38" w:rsidRPr="00E80759">
        <w:rPr>
          <w:rFonts w:ascii="Times New Roman" w:hAnsi="Times New Roman"/>
          <w:sz w:val="24"/>
        </w:rPr>
        <w:t>tantial harm is a high test – as an example: “</w:t>
      </w:r>
      <w:r w:rsidR="00845C38" w:rsidRPr="00E80759">
        <w:rPr>
          <w:rFonts w:ascii="Times New Roman" w:hAnsi="Times New Roman"/>
          <w:i/>
          <w:iCs/>
          <w:sz w:val="24"/>
        </w:rPr>
        <w:t xml:space="preserve">an important </w:t>
      </w:r>
      <w:r w:rsidR="00845C38" w:rsidRPr="00E80759">
        <w:rPr>
          <w:rFonts w:ascii="Times New Roman" w:hAnsi="Times New Roman"/>
          <w:i/>
          <w:iCs/>
          <w:sz w:val="24"/>
        </w:rPr>
        <w:lastRenderedPageBreak/>
        <w:t>consideration would be whether</w:t>
      </w:r>
      <w:r w:rsidR="00E65585" w:rsidRPr="00E80759">
        <w:rPr>
          <w:rFonts w:ascii="Times New Roman" w:hAnsi="Times New Roman"/>
          <w:i/>
          <w:iCs/>
          <w:sz w:val="24"/>
        </w:rPr>
        <w:t xml:space="preserve"> the adverse impact seriously affects a key element of its special architectural or historic interest</w:t>
      </w:r>
      <w:r w:rsidR="00E65585" w:rsidRPr="00E80759">
        <w:rPr>
          <w:rFonts w:ascii="Times New Roman" w:hAnsi="Times New Roman"/>
          <w:sz w:val="24"/>
        </w:rPr>
        <w:t>”</w:t>
      </w:r>
      <w:r w:rsidR="003630FD" w:rsidRPr="001278D2">
        <w:rPr>
          <w:rStyle w:val="FootnoteReference"/>
          <w:rFonts w:ascii="Times New Roman" w:hAnsi="Times New Roman"/>
          <w:sz w:val="24"/>
        </w:rPr>
        <w:footnoteReference w:id="10"/>
      </w:r>
      <w:r w:rsidR="00E65585" w:rsidRPr="00E80759">
        <w:rPr>
          <w:rFonts w:ascii="Times New Roman" w:hAnsi="Times New Roman"/>
          <w:sz w:val="24"/>
        </w:rPr>
        <w:t xml:space="preserve">. </w:t>
      </w:r>
      <w:r w:rsidR="003630FD" w:rsidRPr="00E80759">
        <w:rPr>
          <w:rFonts w:ascii="Times New Roman" w:hAnsi="Times New Roman"/>
          <w:sz w:val="24"/>
        </w:rPr>
        <w:t xml:space="preserve">This represents the Government’s up-to-date interpretation of the threshold. </w:t>
      </w:r>
      <w:r w:rsidR="007659F8" w:rsidRPr="00E80759">
        <w:rPr>
          <w:rFonts w:ascii="Times New Roman" w:hAnsi="Times New Roman"/>
          <w:sz w:val="24"/>
        </w:rPr>
        <w:t xml:space="preserve">As made clear in </w:t>
      </w:r>
      <w:r w:rsidR="00EC2FEB" w:rsidRPr="00E80759">
        <w:rPr>
          <w:rFonts w:ascii="Times New Roman" w:hAnsi="Times New Roman"/>
          <w:sz w:val="24"/>
          <w:u w:val="single"/>
        </w:rPr>
        <w:t>Bramshill</w:t>
      </w:r>
      <w:r w:rsidR="00EC2FEB" w:rsidRPr="001278D2">
        <w:rPr>
          <w:rStyle w:val="FootnoteReference"/>
          <w:rFonts w:ascii="Times New Roman" w:hAnsi="Times New Roman"/>
          <w:sz w:val="24"/>
          <w:u w:val="single"/>
        </w:rPr>
        <w:footnoteReference w:id="11"/>
      </w:r>
      <w:r w:rsidR="008E36DB" w:rsidRPr="00E80759">
        <w:rPr>
          <w:rFonts w:ascii="Times New Roman" w:hAnsi="Times New Roman"/>
          <w:sz w:val="24"/>
          <w:u w:val="single"/>
        </w:rPr>
        <w:t xml:space="preserve"> </w:t>
      </w:r>
      <w:r w:rsidR="008E36DB" w:rsidRPr="00E80759">
        <w:rPr>
          <w:rFonts w:ascii="Times New Roman" w:hAnsi="Times New Roman"/>
          <w:sz w:val="24"/>
        </w:rPr>
        <w:t xml:space="preserve">the degree of harm and the approach to its assessment is a matter for the decision-maker. </w:t>
      </w:r>
      <w:r w:rsidR="00546BF7" w:rsidRPr="00E80759">
        <w:rPr>
          <w:rFonts w:ascii="Times New Roman" w:hAnsi="Times New Roman"/>
          <w:sz w:val="24"/>
        </w:rPr>
        <w:t xml:space="preserve">Mr Bourn refers to the </w:t>
      </w:r>
      <w:r w:rsidR="00546BF7" w:rsidRPr="00E80759">
        <w:rPr>
          <w:rFonts w:ascii="Times New Roman" w:hAnsi="Times New Roman"/>
          <w:sz w:val="24"/>
          <w:u w:val="single"/>
        </w:rPr>
        <w:t xml:space="preserve">Bedford </w:t>
      </w:r>
      <w:r w:rsidR="00546BF7" w:rsidRPr="00E80759">
        <w:rPr>
          <w:rFonts w:ascii="Times New Roman" w:hAnsi="Times New Roman"/>
          <w:sz w:val="24"/>
        </w:rPr>
        <w:t>case</w:t>
      </w:r>
      <w:r w:rsidR="00546BF7" w:rsidRPr="001278D2">
        <w:rPr>
          <w:rStyle w:val="FootnoteReference"/>
          <w:rFonts w:ascii="Times New Roman" w:hAnsi="Times New Roman"/>
          <w:sz w:val="24"/>
        </w:rPr>
        <w:footnoteReference w:id="12"/>
      </w:r>
      <w:r w:rsidR="008E36DB" w:rsidRPr="00E80759">
        <w:rPr>
          <w:rFonts w:ascii="Times New Roman" w:hAnsi="Times New Roman"/>
          <w:sz w:val="24"/>
        </w:rPr>
        <w:t xml:space="preserve"> </w:t>
      </w:r>
      <w:r w:rsidR="00546BF7" w:rsidRPr="00E80759">
        <w:rPr>
          <w:rFonts w:ascii="Times New Roman" w:hAnsi="Times New Roman"/>
          <w:sz w:val="24"/>
        </w:rPr>
        <w:t xml:space="preserve"> but that was not </w:t>
      </w:r>
      <w:r w:rsidR="00EB14B2" w:rsidRPr="00E80759">
        <w:rPr>
          <w:rFonts w:ascii="Times New Roman" w:hAnsi="Times New Roman"/>
          <w:sz w:val="24"/>
        </w:rPr>
        <w:t>intended</w:t>
      </w:r>
      <w:r w:rsidR="00546BF7" w:rsidRPr="00E80759">
        <w:rPr>
          <w:rFonts w:ascii="Times New Roman" w:hAnsi="Times New Roman"/>
          <w:sz w:val="24"/>
        </w:rPr>
        <w:t xml:space="preserve"> to provide a legal interpretation of the meaning of substantial harm in all cases, and the Government clearly sees the PPG as consistent with any dicta in </w:t>
      </w:r>
      <w:r w:rsidR="00546BF7" w:rsidRPr="00E80759">
        <w:rPr>
          <w:rFonts w:ascii="Times New Roman" w:hAnsi="Times New Roman"/>
          <w:sz w:val="24"/>
          <w:u w:val="single"/>
        </w:rPr>
        <w:t>Bedford</w:t>
      </w:r>
      <w:r w:rsidR="00F16B43" w:rsidRPr="00F16B43">
        <w:rPr>
          <w:rFonts w:ascii="Times New Roman" w:hAnsi="Times New Roman"/>
          <w:sz w:val="24"/>
        </w:rPr>
        <w:t>, which it is</w:t>
      </w:r>
      <w:r w:rsidR="00546BF7" w:rsidRPr="00E80759">
        <w:rPr>
          <w:rFonts w:ascii="Times New Roman" w:hAnsi="Times New Roman"/>
          <w:sz w:val="24"/>
        </w:rPr>
        <w:t xml:space="preserve">. If appropriate more detailed </w:t>
      </w:r>
      <w:r w:rsidR="00EB14B2" w:rsidRPr="00E80759">
        <w:rPr>
          <w:rFonts w:ascii="Times New Roman" w:hAnsi="Times New Roman"/>
          <w:sz w:val="24"/>
        </w:rPr>
        <w:t>submissions</w:t>
      </w:r>
      <w:r w:rsidR="00546BF7" w:rsidRPr="00E80759">
        <w:rPr>
          <w:rFonts w:ascii="Times New Roman" w:hAnsi="Times New Roman"/>
          <w:sz w:val="24"/>
        </w:rPr>
        <w:t xml:space="preserve"> can be made in closing. </w:t>
      </w:r>
    </w:p>
    <w:p w14:paraId="22B6CCBD" w14:textId="77777777" w:rsidR="00E80759" w:rsidRPr="00E80759" w:rsidRDefault="00E80759" w:rsidP="00E80759">
      <w:pPr>
        <w:pStyle w:val="ListParagraph"/>
        <w:rPr>
          <w:rFonts w:ascii="Times New Roman" w:hAnsi="Times New Roman"/>
          <w:sz w:val="24"/>
        </w:rPr>
      </w:pPr>
    </w:p>
    <w:p w14:paraId="085BFEAB" w14:textId="2A1F7CF4" w:rsidR="00546BF7" w:rsidRPr="00E80759" w:rsidRDefault="00CA4175" w:rsidP="00E80759">
      <w:pPr>
        <w:pStyle w:val="ListParagraph"/>
        <w:numPr>
          <w:ilvl w:val="0"/>
          <w:numId w:val="1"/>
        </w:numPr>
        <w:spacing w:line="360" w:lineRule="auto"/>
        <w:jc w:val="both"/>
        <w:rPr>
          <w:rFonts w:ascii="Times New Roman" w:hAnsi="Times New Roman"/>
          <w:sz w:val="24"/>
        </w:rPr>
      </w:pPr>
      <w:r w:rsidRPr="00E80759">
        <w:rPr>
          <w:rFonts w:ascii="Times New Roman" w:hAnsi="Times New Roman"/>
          <w:sz w:val="24"/>
        </w:rPr>
        <w:t>A clear structure for considering cases of development in the setting of assets is given in HE’s GPA3</w:t>
      </w:r>
      <w:r w:rsidR="00274D9C" w:rsidRPr="00E80759">
        <w:rPr>
          <w:rFonts w:ascii="Times New Roman" w:hAnsi="Times New Roman"/>
          <w:sz w:val="24"/>
        </w:rPr>
        <w:t>. As above, in this case the particularly contentious steps are steps 2 and 3:</w:t>
      </w:r>
    </w:p>
    <w:p w14:paraId="15097176" w14:textId="512F0F37" w:rsidR="00274D9C" w:rsidRDefault="00274D9C" w:rsidP="00274D9C">
      <w:pPr>
        <w:pStyle w:val="ListParagraph"/>
        <w:numPr>
          <w:ilvl w:val="0"/>
          <w:numId w:val="3"/>
        </w:numPr>
        <w:spacing w:line="360" w:lineRule="auto"/>
        <w:jc w:val="both"/>
        <w:rPr>
          <w:rFonts w:ascii="Times New Roman" w:hAnsi="Times New Roman"/>
          <w:sz w:val="24"/>
        </w:rPr>
      </w:pPr>
      <w:r>
        <w:rPr>
          <w:rFonts w:ascii="Times New Roman" w:hAnsi="Times New Roman"/>
          <w:sz w:val="24"/>
        </w:rPr>
        <w:t>Assess the degree to which these settings and views make a contribution to the significance of the heritage assets or allow their significance to be appreciates;</w:t>
      </w:r>
    </w:p>
    <w:p w14:paraId="1567929D" w14:textId="6C6B7FC8" w:rsidR="00274D9C" w:rsidRDefault="00274D9C" w:rsidP="00274D9C">
      <w:pPr>
        <w:pStyle w:val="ListParagraph"/>
        <w:numPr>
          <w:ilvl w:val="0"/>
          <w:numId w:val="3"/>
        </w:numPr>
        <w:spacing w:line="360" w:lineRule="auto"/>
        <w:jc w:val="both"/>
        <w:rPr>
          <w:rFonts w:ascii="Times New Roman" w:hAnsi="Times New Roman"/>
          <w:sz w:val="24"/>
        </w:rPr>
      </w:pPr>
      <w:r>
        <w:rPr>
          <w:rFonts w:ascii="Times New Roman" w:hAnsi="Times New Roman"/>
          <w:sz w:val="24"/>
        </w:rPr>
        <w:t>Assess the effects of the proposed development, whether beneficial or harmful</w:t>
      </w:r>
      <w:r w:rsidR="00A66C25">
        <w:rPr>
          <w:rFonts w:ascii="Times New Roman" w:hAnsi="Times New Roman"/>
          <w:sz w:val="24"/>
        </w:rPr>
        <w:t xml:space="preserve">, on that significance or on the ability to appreciate it. </w:t>
      </w:r>
    </w:p>
    <w:p w14:paraId="73120CCC" w14:textId="77777777" w:rsidR="00E80759" w:rsidRDefault="00E80759" w:rsidP="00E80759">
      <w:pPr>
        <w:pStyle w:val="ListParagraph"/>
        <w:spacing w:line="360" w:lineRule="auto"/>
        <w:ind w:left="1860"/>
        <w:jc w:val="both"/>
        <w:rPr>
          <w:rFonts w:ascii="Times New Roman" w:hAnsi="Times New Roman"/>
          <w:sz w:val="24"/>
        </w:rPr>
      </w:pPr>
    </w:p>
    <w:p w14:paraId="2702649D" w14:textId="7EC734D3" w:rsidR="00A66C25" w:rsidRDefault="00A66C25" w:rsidP="00A66C25">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These opening submissions </w:t>
      </w:r>
      <w:r w:rsidR="00C66B4C">
        <w:rPr>
          <w:rFonts w:ascii="Times New Roman" w:hAnsi="Times New Roman"/>
          <w:sz w:val="24"/>
        </w:rPr>
        <w:t>do not rehearse the evidence of Ms Ma</w:t>
      </w:r>
      <w:r w:rsidR="0079319A">
        <w:rPr>
          <w:rFonts w:ascii="Times New Roman" w:hAnsi="Times New Roman"/>
          <w:sz w:val="24"/>
        </w:rPr>
        <w:t>s</w:t>
      </w:r>
      <w:r w:rsidR="00C66B4C">
        <w:rPr>
          <w:rFonts w:ascii="Times New Roman" w:hAnsi="Times New Roman"/>
          <w:sz w:val="24"/>
        </w:rPr>
        <w:t xml:space="preserve">ood in any detail, which will be heard shortly. </w:t>
      </w:r>
      <w:r w:rsidR="009A11E9">
        <w:rPr>
          <w:rFonts w:ascii="Times New Roman" w:hAnsi="Times New Roman"/>
          <w:sz w:val="24"/>
        </w:rPr>
        <w:t xml:space="preserve">It seems clear that the appeal site forms part of </w:t>
      </w:r>
      <w:r w:rsidR="00972FF1">
        <w:rPr>
          <w:rFonts w:ascii="Times New Roman" w:hAnsi="Times New Roman"/>
          <w:sz w:val="24"/>
        </w:rPr>
        <w:t>an agricultural landscape that has remained largely unchange</w:t>
      </w:r>
      <w:r w:rsidR="00B06ACD">
        <w:rPr>
          <w:rFonts w:ascii="Times New Roman" w:hAnsi="Times New Roman"/>
          <w:sz w:val="24"/>
        </w:rPr>
        <w:t>d</w:t>
      </w:r>
      <w:r w:rsidR="00972FF1">
        <w:rPr>
          <w:rFonts w:ascii="Times New Roman" w:hAnsi="Times New Roman"/>
          <w:sz w:val="24"/>
        </w:rPr>
        <w:t xml:space="preserve"> for centuries. </w:t>
      </w:r>
      <w:r w:rsidR="00B06ACD">
        <w:rPr>
          <w:rFonts w:ascii="Times New Roman" w:hAnsi="Times New Roman"/>
          <w:sz w:val="24"/>
        </w:rPr>
        <w:t>The farmhouse and surrounding fields have co-existed</w:t>
      </w:r>
      <w:r w:rsidR="007124B3">
        <w:rPr>
          <w:rFonts w:ascii="Times New Roman" w:hAnsi="Times New Roman"/>
          <w:sz w:val="24"/>
        </w:rPr>
        <w:t xml:space="preserve"> for centuries. </w:t>
      </w:r>
      <w:r w:rsidR="00972FF1">
        <w:rPr>
          <w:rFonts w:ascii="Times New Roman" w:hAnsi="Times New Roman"/>
          <w:sz w:val="24"/>
        </w:rPr>
        <w:t>Field patter</w:t>
      </w:r>
      <w:r w:rsidR="000B7AD3">
        <w:rPr>
          <w:rFonts w:ascii="Times New Roman" w:hAnsi="Times New Roman"/>
          <w:sz w:val="24"/>
        </w:rPr>
        <w:t>n</w:t>
      </w:r>
      <w:r w:rsidR="00972FF1">
        <w:rPr>
          <w:rFonts w:ascii="Times New Roman" w:hAnsi="Times New Roman"/>
          <w:sz w:val="24"/>
        </w:rPr>
        <w:t>s across the appeal site remain substa</w:t>
      </w:r>
      <w:r w:rsidR="00E46E67">
        <w:rPr>
          <w:rFonts w:ascii="Times New Roman" w:hAnsi="Times New Roman"/>
          <w:sz w:val="24"/>
        </w:rPr>
        <w:t>ntially the same</w:t>
      </w:r>
      <w:r w:rsidR="00E46E67">
        <w:rPr>
          <w:rStyle w:val="FootnoteReference"/>
          <w:rFonts w:ascii="Times New Roman" w:hAnsi="Times New Roman"/>
          <w:sz w:val="24"/>
        </w:rPr>
        <w:footnoteReference w:id="13"/>
      </w:r>
      <w:r w:rsidR="00CF7D37">
        <w:rPr>
          <w:rFonts w:ascii="Times New Roman" w:hAnsi="Times New Roman"/>
          <w:sz w:val="24"/>
        </w:rPr>
        <w:t>. The farm and barns took their place as a vernacular, functional farmhouse on the ed</w:t>
      </w:r>
      <w:r w:rsidR="00ED39EA">
        <w:rPr>
          <w:rFonts w:ascii="Times New Roman" w:hAnsi="Times New Roman"/>
          <w:sz w:val="24"/>
        </w:rPr>
        <w:t>ge of</w:t>
      </w:r>
      <w:r w:rsidR="00CF7D37">
        <w:rPr>
          <w:rFonts w:ascii="Times New Roman" w:hAnsi="Times New Roman"/>
          <w:sz w:val="24"/>
        </w:rPr>
        <w:t xml:space="preserve"> the agricultural hamlet of Royd. </w:t>
      </w:r>
      <w:r w:rsidR="00944B41">
        <w:rPr>
          <w:rFonts w:ascii="Times New Roman" w:hAnsi="Times New Roman"/>
          <w:sz w:val="24"/>
        </w:rPr>
        <w:t xml:space="preserve">The architectural and historic interest are the subject of significant functional contribution through the agricultural </w:t>
      </w:r>
      <w:r w:rsidR="00E1339C">
        <w:rPr>
          <w:rFonts w:ascii="Times New Roman" w:hAnsi="Times New Roman"/>
          <w:sz w:val="24"/>
        </w:rPr>
        <w:t xml:space="preserve">and historic </w:t>
      </w:r>
      <w:r w:rsidR="00944B41">
        <w:rPr>
          <w:rFonts w:ascii="Times New Roman" w:hAnsi="Times New Roman"/>
          <w:sz w:val="24"/>
        </w:rPr>
        <w:t>setting which explains their form, function and placement.</w:t>
      </w:r>
      <w:r w:rsidR="00583F65">
        <w:rPr>
          <w:rFonts w:ascii="Times New Roman" w:hAnsi="Times New Roman"/>
          <w:sz w:val="24"/>
        </w:rPr>
        <w:t xml:space="preserve"> The buildings </w:t>
      </w:r>
      <w:r w:rsidR="00E1339C">
        <w:rPr>
          <w:rFonts w:ascii="Times New Roman" w:hAnsi="Times New Roman"/>
          <w:sz w:val="24"/>
        </w:rPr>
        <w:t xml:space="preserve">themselves are relatively simple and functional. </w:t>
      </w:r>
      <w:r w:rsidR="00944B41">
        <w:rPr>
          <w:rFonts w:ascii="Times New Roman" w:hAnsi="Times New Roman"/>
          <w:sz w:val="24"/>
        </w:rPr>
        <w:t xml:space="preserve"> There is group value between the barns, the farmhouse and the curtilage listed buildings, for example the pigsties set </w:t>
      </w:r>
      <w:r w:rsidR="00583F65">
        <w:rPr>
          <w:rFonts w:ascii="Times New Roman" w:hAnsi="Times New Roman"/>
          <w:sz w:val="24"/>
        </w:rPr>
        <w:t xml:space="preserve">against the boundary of the appeal site. </w:t>
      </w:r>
      <w:r w:rsidR="00D64385">
        <w:rPr>
          <w:rFonts w:ascii="Times New Roman" w:hAnsi="Times New Roman"/>
          <w:sz w:val="24"/>
        </w:rPr>
        <w:t>There are high levels of intervisibility between the listed building and their cu</w:t>
      </w:r>
      <w:r w:rsidR="00DC4070">
        <w:rPr>
          <w:rFonts w:ascii="Times New Roman" w:hAnsi="Times New Roman"/>
          <w:sz w:val="24"/>
        </w:rPr>
        <w:t xml:space="preserve">rtilage and the appeal site. </w:t>
      </w:r>
      <w:r w:rsidR="00DC4070">
        <w:rPr>
          <w:rFonts w:ascii="Times New Roman" w:hAnsi="Times New Roman"/>
          <w:sz w:val="24"/>
        </w:rPr>
        <w:lastRenderedPageBreak/>
        <w:t xml:space="preserve">Indeed, standing next to the </w:t>
      </w:r>
      <w:r w:rsidR="007124B3">
        <w:rPr>
          <w:rFonts w:ascii="Times New Roman" w:hAnsi="Times New Roman"/>
          <w:sz w:val="24"/>
        </w:rPr>
        <w:t>pigsties</w:t>
      </w:r>
      <w:r w:rsidR="00DC4070">
        <w:rPr>
          <w:rFonts w:ascii="Times New Roman" w:hAnsi="Times New Roman"/>
          <w:sz w:val="24"/>
        </w:rPr>
        <w:t xml:space="preserve"> at the </w:t>
      </w:r>
      <w:r w:rsidR="00FE1A32">
        <w:rPr>
          <w:rFonts w:ascii="Times New Roman" w:hAnsi="Times New Roman"/>
          <w:sz w:val="24"/>
        </w:rPr>
        <w:t>entrance to the field</w:t>
      </w:r>
      <w:r w:rsidR="00DC4070">
        <w:rPr>
          <w:rFonts w:ascii="Times New Roman" w:hAnsi="Times New Roman"/>
          <w:sz w:val="24"/>
        </w:rPr>
        <w:t xml:space="preserve"> there are very clear views across the site – and from the appeal site back to the farm complex. </w:t>
      </w:r>
      <w:r w:rsidR="001C3D23">
        <w:rPr>
          <w:rFonts w:ascii="Times New Roman" w:hAnsi="Times New Roman"/>
          <w:sz w:val="24"/>
        </w:rPr>
        <w:t>M</w:t>
      </w:r>
      <w:r w:rsidR="0079319A">
        <w:rPr>
          <w:rFonts w:ascii="Times New Roman" w:hAnsi="Times New Roman"/>
          <w:sz w:val="24"/>
        </w:rPr>
        <w:t>r</w:t>
      </w:r>
      <w:r w:rsidR="001C3D23">
        <w:rPr>
          <w:rFonts w:ascii="Times New Roman" w:hAnsi="Times New Roman"/>
          <w:sz w:val="24"/>
        </w:rPr>
        <w:t>s Mas</w:t>
      </w:r>
      <w:r w:rsidR="0079319A">
        <w:rPr>
          <w:rFonts w:ascii="Times New Roman" w:hAnsi="Times New Roman"/>
          <w:sz w:val="24"/>
        </w:rPr>
        <w:t>o</w:t>
      </w:r>
      <w:r w:rsidR="001C3D23">
        <w:rPr>
          <w:rFonts w:ascii="Times New Roman" w:hAnsi="Times New Roman"/>
          <w:sz w:val="24"/>
        </w:rPr>
        <w:t>od considers the physical and visual connection between the buildings and the historic field system to be seamless</w:t>
      </w:r>
      <w:r w:rsidR="001D4CE0">
        <w:rPr>
          <w:rFonts w:ascii="Times New Roman" w:hAnsi="Times New Roman"/>
          <w:sz w:val="24"/>
        </w:rPr>
        <w:t xml:space="preserve"> and intrinsic. </w:t>
      </w:r>
      <w:r w:rsidR="00713868">
        <w:rPr>
          <w:rFonts w:ascii="Times New Roman" w:hAnsi="Times New Roman"/>
          <w:sz w:val="24"/>
        </w:rPr>
        <w:t>M</w:t>
      </w:r>
      <w:r w:rsidR="0079319A">
        <w:rPr>
          <w:rFonts w:ascii="Times New Roman" w:hAnsi="Times New Roman"/>
          <w:sz w:val="24"/>
        </w:rPr>
        <w:t>r</w:t>
      </w:r>
      <w:r w:rsidR="00713868">
        <w:rPr>
          <w:rFonts w:ascii="Times New Roman" w:hAnsi="Times New Roman"/>
          <w:sz w:val="24"/>
        </w:rPr>
        <w:t>s Mas</w:t>
      </w:r>
      <w:r w:rsidR="0079319A">
        <w:rPr>
          <w:rFonts w:ascii="Times New Roman" w:hAnsi="Times New Roman"/>
          <w:sz w:val="24"/>
        </w:rPr>
        <w:t>o</w:t>
      </w:r>
      <w:r w:rsidR="00713868">
        <w:rPr>
          <w:rFonts w:ascii="Times New Roman" w:hAnsi="Times New Roman"/>
          <w:sz w:val="24"/>
        </w:rPr>
        <w:t xml:space="preserve">od concludes that the agricultural setting within the </w:t>
      </w:r>
      <w:r w:rsidR="0084647A">
        <w:rPr>
          <w:rFonts w:ascii="Times New Roman" w:hAnsi="Times New Roman"/>
          <w:sz w:val="24"/>
        </w:rPr>
        <w:t>hamlet of Royd makes a very substantial contribution to the setting of the assets</w:t>
      </w:r>
      <w:r w:rsidR="00E87457">
        <w:rPr>
          <w:rFonts w:ascii="Times New Roman" w:hAnsi="Times New Roman"/>
          <w:sz w:val="24"/>
        </w:rPr>
        <w:t xml:space="preserve"> and is a fundamental element of the significance</w:t>
      </w:r>
      <w:r w:rsidR="00E87457">
        <w:rPr>
          <w:rStyle w:val="FootnoteReference"/>
          <w:rFonts w:ascii="Times New Roman" w:hAnsi="Times New Roman"/>
          <w:sz w:val="24"/>
        </w:rPr>
        <w:footnoteReference w:id="14"/>
      </w:r>
      <w:r w:rsidR="00E87457">
        <w:rPr>
          <w:rFonts w:ascii="Times New Roman" w:hAnsi="Times New Roman"/>
          <w:sz w:val="24"/>
        </w:rPr>
        <w:t xml:space="preserve">. </w:t>
      </w:r>
    </w:p>
    <w:p w14:paraId="0D7E7468" w14:textId="77777777" w:rsidR="00E80759" w:rsidRDefault="00E80759" w:rsidP="00E80759">
      <w:pPr>
        <w:pStyle w:val="ListParagraph"/>
        <w:spacing w:line="360" w:lineRule="auto"/>
        <w:jc w:val="both"/>
        <w:rPr>
          <w:rFonts w:ascii="Times New Roman" w:hAnsi="Times New Roman"/>
          <w:sz w:val="24"/>
        </w:rPr>
      </w:pPr>
    </w:p>
    <w:p w14:paraId="1991F6AC" w14:textId="25104E12" w:rsidR="00E87457" w:rsidRDefault="00023E78" w:rsidP="00A66C25">
      <w:pPr>
        <w:pStyle w:val="ListParagraph"/>
        <w:numPr>
          <w:ilvl w:val="0"/>
          <w:numId w:val="1"/>
        </w:numPr>
        <w:spacing w:line="360" w:lineRule="auto"/>
        <w:jc w:val="both"/>
        <w:rPr>
          <w:rFonts w:ascii="Times New Roman" w:hAnsi="Times New Roman"/>
          <w:sz w:val="24"/>
        </w:rPr>
      </w:pPr>
      <w:r>
        <w:rPr>
          <w:rFonts w:ascii="Times New Roman" w:hAnsi="Times New Roman"/>
          <w:sz w:val="24"/>
        </w:rPr>
        <w:t>The scale of the effect on this agricultural setting is obviously very significant. It takes the fields out of agricultural use for the first time in hundreds of years, and removes any functional link</w:t>
      </w:r>
      <w:r w:rsidR="003D4CDC">
        <w:rPr>
          <w:rFonts w:ascii="Times New Roman" w:hAnsi="Times New Roman"/>
          <w:sz w:val="24"/>
        </w:rPr>
        <w:t xml:space="preserve"> visually or historically between the buildings and their historic farmland. The proposed houses occupy </w:t>
      </w:r>
      <w:r w:rsidR="00682B88">
        <w:rPr>
          <w:rFonts w:ascii="Times New Roman" w:hAnsi="Times New Roman"/>
          <w:sz w:val="24"/>
        </w:rPr>
        <w:t xml:space="preserve">4 of the 5 open fields. </w:t>
      </w:r>
      <w:r w:rsidR="00804985">
        <w:rPr>
          <w:rFonts w:ascii="Times New Roman" w:hAnsi="Times New Roman"/>
          <w:sz w:val="24"/>
        </w:rPr>
        <w:t>It is fair to say, as Mr</w:t>
      </w:r>
      <w:r w:rsidR="0079319A">
        <w:rPr>
          <w:rFonts w:ascii="Times New Roman" w:hAnsi="Times New Roman"/>
          <w:sz w:val="24"/>
        </w:rPr>
        <w:t>s</w:t>
      </w:r>
      <w:r w:rsidR="00804985">
        <w:rPr>
          <w:rFonts w:ascii="Times New Roman" w:hAnsi="Times New Roman"/>
          <w:sz w:val="24"/>
        </w:rPr>
        <w:t xml:space="preserve"> Mas</w:t>
      </w:r>
      <w:r w:rsidR="0079319A">
        <w:rPr>
          <w:rFonts w:ascii="Times New Roman" w:hAnsi="Times New Roman"/>
          <w:sz w:val="24"/>
        </w:rPr>
        <w:t>o</w:t>
      </w:r>
      <w:r w:rsidR="00804985">
        <w:rPr>
          <w:rFonts w:ascii="Times New Roman" w:hAnsi="Times New Roman"/>
          <w:sz w:val="24"/>
        </w:rPr>
        <w:t xml:space="preserve">od does, that the </w:t>
      </w:r>
      <w:r w:rsidR="00FE1A32">
        <w:rPr>
          <w:rFonts w:ascii="Times New Roman" w:hAnsi="Times New Roman"/>
          <w:sz w:val="24"/>
        </w:rPr>
        <w:t>agricultural</w:t>
      </w:r>
      <w:r w:rsidR="00804985">
        <w:rPr>
          <w:rFonts w:ascii="Times New Roman" w:hAnsi="Times New Roman"/>
          <w:sz w:val="24"/>
        </w:rPr>
        <w:t xml:space="preserve"> character of the setting will be eradicated</w:t>
      </w:r>
      <w:r w:rsidR="009D02EF">
        <w:rPr>
          <w:rFonts w:ascii="Times New Roman" w:hAnsi="Times New Roman"/>
          <w:sz w:val="24"/>
        </w:rPr>
        <w:t xml:space="preserve">. The reduction in significance goes to the essence of the asset as a rural, farmhouses, barns and outbuildings in a historic </w:t>
      </w:r>
      <w:r w:rsidR="00FE1A32">
        <w:rPr>
          <w:rFonts w:ascii="Times New Roman" w:hAnsi="Times New Roman"/>
          <w:sz w:val="24"/>
        </w:rPr>
        <w:t>agricultural</w:t>
      </w:r>
      <w:r w:rsidR="009D02EF">
        <w:rPr>
          <w:rFonts w:ascii="Times New Roman" w:hAnsi="Times New Roman"/>
          <w:sz w:val="24"/>
        </w:rPr>
        <w:t xml:space="preserve"> field pattern. The interest in the fabric would remain – but little else – these being simply, functional </w:t>
      </w:r>
      <w:r w:rsidR="00DE312C">
        <w:rPr>
          <w:rFonts w:ascii="Times New Roman" w:hAnsi="Times New Roman"/>
          <w:sz w:val="24"/>
        </w:rPr>
        <w:t xml:space="preserve">buildings explained by their setting. The </w:t>
      </w:r>
      <w:r w:rsidR="003F3C73">
        <w:rPr>
          <w:rFonts w:ascii="Times New Roman" w:hAnsi="Times New Roman"/>
          <w:sz w:val="24"/>
        </w:rPr>
        <w:t>device within</w:t>
      </w:r>
      <w:r w:rsidR="00DE312C">
        <w:rPr>
          <w:rFonts w:ascii="Times New Roman" w:hAnsi="Times New Roman"/>
          <w:sz w:val="24"/>
        </w:rPr>
        <w:t xml:space="preserve"> the </w:t>
      </w:r>
      <w:r w:rsidR="003F3C73">
        <w:rPr>
          <w:rFonts w:ascii="Times New Roman" w:hAnsi="Times New Roman"/>
          <w:sz w:val="24"/>
        </w:rPr>
        <w:t xml:space="preserve">amended </w:t>
      </w:r>
      <w:r w:rsidR="00DE312C">
        <w:rPr>
          <w:rFonts w:ascii="Times New Roman" w:hAnsi="Times New Roman"/>
          <w:sz w:val="24"/>
        </w:rPr>
        <w:t>scheme to allo</w:t>
      </w:r>
      <w:r w:rsidR="003F3C73">
        <w:rPr>
          <w:rFonts w:ascii="Times New Roman" w:hAnsi="Times New Roman"/>
          <w:sz w:val="24"/>
        </w:rPr>
        <w:t>w</w:t>
      </w:r>
      <w:r w:rsidR="00DE312C">
        <w:rPr>
          <w:rFonts w:ascii="Times New Roman" w:hAnsi="Times New Roman"/>
          <w:sz w:val="24"/>
        </w:rPr>
        <w:t xml:space="preserve"> for some public open space</w:t>
      </w:r>
      <w:r w:rsidR="003F3C73">
        <w:rPr>
          <w:rFonts w:ascii="Times New Roman" w:hAnsi="Times New Roman"/>
          <w:sz w:val="24"/>
        </w:rPr>
        <w:t xml:space="preserve"> and </w:t>
      </w:r>
      <w:r w:rsidR="00D654ED">
        <w:rPr>
          <w:rFonts w:ascii="Times New Roman" w:hAnsi="Times New Roman"/>
          <w:sz w:val="24"/>
        </w:rPr>
        <w:t>drainage basin</w:t>
      </w:r>
      <w:r w:rsidR="00DE312C">
        <w:rPr>
          <w:rFonts w:ascii="Times New Roman" w:hAnsi="Times New Roman"/>
          <w:sz w:val="24"/>
        </w:rPr>
        <w:t xml:space="preserve"> to be visible from the garden of the </w:t>
      </w:r>
      <w:r w:rsidR="003F3C73">
        <w:rPr>
          <w:rFonts w:ascii="Times New Roman" w:hAnsi="Times New Roman"/>
          <w:sz w:val="24"/>
        </w:rPr>
        <w:t>l</w:t>
      </w:r>
      <w:r w:rsidR="00DE312C">
        <w:rPr>
          <w:rFonts w:ascii="Times New Roman" w:hAnsi="Times New Roman"/>
          <w:sz w:val="24"/>
        </w:rPr>
        <w:t xml:space="preserve">isted building – appearing in a residential, and inevitably suburban setting – does nothing to </w:t>
      </w:r>
      <w:r w:rsidR="002E0328">
        <w:rPr>
          <w:rFonts w:ascii="Times New Roman" w:hAnsi="Times New Roman"/>
          <w:sz w:val="24"/>
        </w:rPr>
        <w:t xml:space="preserve">reduce the effects of the fundamental change in character of the fields. </w:t>
      </w:r>
      <w:r w:rsidR="00381E5A">
        <w:rPr>
          <w:rFonts w:ascii="Times New Roman" w:hAnsi="Times New Roman"/>
          <w:sz w:val="24"/>
        </w:rPr>
        <w:t xml:space="preserve">This is not mitigated by the planting proposals </w:t>
      </w:r>
      <w:r w:rsidR="00417C13">
        <w:rPr>
          <w:rFonts w:ascii="Times New Roman" w:hAnsi="Times New Roman"/>
          <w:sz w:val="24"/>
        </w:rPr>
        <w:t>and means of enclosure of gardens, which are at odds with the historic appearance and use of the site</w:t>
      </w:r>
      <w:r w:rsidR="002424D5">
        <w:rPr>
          <w:rFonts w:ascii="Times New Roman" w:hAnsi="Times New Roman"/>
          <w:sz w:val="24"/>
        </w:rPr>
        <w:t>.</w:t>
      </w:r>
      <w:r w:rsidR="00417C13">
        <w:rPr>
          <w:rFonts w:ascii="Times New Roman" w:hAnsi="Times New Roman"/>
          <w:sz w:val="24"/>
        </w:rPr>
        <w:t xml:space="preserve"> </w:t>
      </w:r>
      <w:r w:rsidR="004000D6">
        <w:rPr>
          <w:rFonts w:ascii="Times New Roman" w:hAnsi="Times New Roman"/>
          <w:sz w:val="24"/>
        </w:rPr>
        <w:t xml:space="preserve"> </w:t>
      </w:r>
    </w:p>
    <w:p w14:paraId="1B50DFD1" w14:textId="77777777" w:rsidR="002424D5" w:rsidRDefault="002424D5" w:rsidP="002424D5">
      <w:pPr>
        <w:pStyle w:val="ListParagraph"/>
        <w:spacing w:line="360" w:lineRule="auto"/>
        <w:jc w:val="both"/>
        <w:rPr>
          <w:rFonts w:ascii="Times New Roman" w:hAnsi="Times New Roman"/>
          <w:sz w:val="24"/>
        </w:rPr>
      </w:pPr>
    </w:p>
    <w:p w14:paraId="69877840" w14:textId="7D8FC3A8" w:rsidR="00E6775A" w:rsidRDefault="00E6775A" w:rsidP="00A66C25">
      <w:pPr>
        <w:pStyle w:val="ListParagraph"/>
        <w:numPr>
          <w:ilvl w:val="0"/>
          <w:numId w:val="1"/>
        </w:numPr>
        <w:spacing w:line="360" w:lineRule="auto"/>
        <w:jc w:val="both"/>
        <w:rPr>
          <w:rFonts w:ascii="Times New Roman" w:hAnsi="Times New Roman"/>
          <w:sz w:val="24"/>
        </w:rPr>
      </w:pPr>
      <w:r>
        <w:rPr>
          <w:rFonts w:ascii="Times New Roman" w:hAnsi="Times New Roman"/>
          <w:sz w:val="24"/>
        </w:rPr>
        <w:t>In te</w:t>
      </w:r>
      <w:r w:rsidR="00471BE9">
        <w:rPr>
          <w:rFonts w:ascii="Times New Roman" w:hAnsi="Times New Roman"/>
          <w:sz w:val="24"/>
        </w:rPr>
        <w:t>r</w:t>
      </w:r>
      <w:r>
        <w:rPr>
          <w:rFonts w:ascii="Times New Roman" w:hAnsi="Times New Roman"/>
          <w:sz w:val="24"/>
        </w:rPr>
        <w:t>ms of the PPG, M</w:t>
      </w:r>
      <w:r w:rsidR="0079319A">
        <w:rPr>
          <w:rFonts w:ascii="Times New Roman" w:hAnsi="Times New Roman"/>
          <w:sz w:val="24"/>
        </w:rPr>
        <w:t>r</w:t>
      </w:r>
      <w:r>
        <w:rPr>
          <w:rFonts w:ascii="Times New Roman" w:hAnsi="Times New Roman"/>
          <w:sz w:val="24"/>
        </w:rPr>
        <w:t>s Mas</w:t>
      </w:r>
      <w:r w:rsidR="001A2417">
        <w:rPr>
          <w:rFonts w:ascii="Times New Roman" w:hAnsi="Times New Roman"/>
          <w:sz w:val="24"/>
        </w:rPr>
        <w:t>ood considers that the adverse impact does seriously affect</w:t>
      </w:r>
      <w:r w:rsidR="00BE783E">
        <w:rPr>
          <w:rFonts w:ascii="Times New Roman" w:hAnsi="Times New Roman"/>
          <w:sz w:val="24"/>
        </w:rPr>
        <w:t xml:space="preserve"> a key element of the significance of the listed buildings </w:t>
      </w:r>
      <w:r w:rsidR="00471BE9">
        <w:rPr>
          <w:rFonts w:ascii="Times New Roman" w:hAnsi="Times New Roman"/>
          <w:sz w:val="24"/>
        </w:rPr>
        <w:t>architectural</w:t>
      </w:r>
      <w:r w:rsidR="00BE783E">
        <w:rPr>
          <w:rFonts w:ascii="Times New Roman" w:hAnsi="Times New Roman"/>
          <w:sz w:val="24"/>
        </w:rPr>
        <w:t xml:space="preserve"> and historic interest. It therefore meets the test of substantial harm. </w:t>
      </w:r>
    </w:p>
    <w:p w14:paraId="1288EE46" w14:textId="77777777" w:rsidR="002424D5" w:rsidRDefault="002424D5" w:rsidP="00E80759">
      <w:pPr>
        <w:pStyle w:val="ListParagraph"/>
        <w:spacing w:line="360" w:lineRule="auto"/>
        <w:jc w:val="both"/>
        <w:rPr>
          <w:rFonts w:ascii="Times New Roman" w:hAnsi="Times New Roman"/>
          <w:sz w:val="24"/>
        </w:rPr>
      </w:pPr>
    </w:p>
    <w:p w14:paraId="500924EE" w14:textId="474461CB" w:rsidR="0066522B" w:rsidRDefault="0066522B" w:rsidP="00A66C25">
      <w:pPr>
        <w:pStyle w:val="ListParagraph"/>
        <w:numPr>
          <w:ilvl w:val="0"/>
          <w:numId w:val="1"/>
        </w:numPr>
        <w:spacing w:line="360" w:lineRule="auto"/>
        <w:jc w:val="both"/>
        <w:rPr>
          <w:rFonts w:ascii="Times New Roman" w:hAnsi="Times New Roman"/>
          <w:sz w:val="24"/>
        </w:rPr>
      </w:pPr>
      <w:r>
        <w:rPr>
          <w:rFonts w:ascii="Times New Roman" w:hAnsi="Times New Roman"/>
          <w:sz w:val="24"/>
        </w:rPr>
        <w:t>As a result, the proposals fall to be addressed under NPPF 195. They are also in conflict with Saved UDP policies BE15 and BE19, as well as</w:t>
      </w:r>
      <w:r w:rsidR="00097D85">
        <w:rPr>
          <w:rFonts w:ascii="Times New Roman" w:hAnsi="Times New Roman"/>
          <w:sz w:val="24"/>
        </w:rPr>
        <w:t xml:space="preserve"> LR5(e)</w:t>
      </w:r>
      <w:r w:rsidR="00C57AB2">
        <w:rPr>
          <w:rFonts w:ascii="Times New Roman" w:hAnsi="Times New Roman"/>
          <w:sz w:val="24"/>
        </w:rPr>
        <w:t>.</w:t>
      </w:r>
    </w:p>
    <w:p w14:paraId="3560C66C" w14:textId="77777777" w:rsidR="00E80759" w:rsidRPr="00E80759" w:rsidRDefault="00E80759" w:rsidP="00E80759">
      <w:pPr>
        <w:pStyle w:val="ListParagraph"/>
        <w:rPr>
          <w:rFonts w:ascii="Times New Roman" w:hAnsi="Times New Roman"/>
          <w:sz w:val="24"/>
        </w:rPr>
      </w:pPr>
    </w:p>
    <w:p w14:paraId="25688270" w14:textId="77F0B0AD" w:rsidR="00E80759" w:rsidRDefault="003879C7" w:rsidP="00E80759">
      <w:pPr>
        <w:spacing w:line="360" w:lineRule="auto"/>
        <w:jc w:val="both"/>
        <w:rPr>
          <w:rFonts w:ascii="Times New Roman" w:hAnsi="Times New Roman"/>
          <w:b/>
          <w:bCs/>
          <w:sz w:val="24"/>
        </w:rPr>
      </w:pPr>
      <w:r>
        <w:rPr>
          <w:rFonts w:ascii="Times New Roman" w:hAnsi="Times New Roman"/>
          <w:b/>
          <w:bCs/>
          <w:sz w:val="24"/>
        </w:rPr>
        <w:t>Issue 3. Planning Balance</w:t>
      </w:r>
    </w:p>
    <w:p w14:paraId="67B6E3F1" w14:textId="67713E7B" w:rsidR="00473A68" w:rsidRPr="00473A68" w:rsidRDefault="00473A68" w:rsidP="00E80759">
      <w:pPr>
        <w:spacing w:line="360" w:lineRule="auto"/>
        <w:jc w:val="both"/>
        <w:rPr>
          <w:rFonts w:ascii="Times New Roman" w:hAnsi="Times New Roman"/>
          <w:sz w:val="24"/>
          <w:u w:val="single"/>
        </w:rPr>
      </w:pPr>
      <w:r>
        <w:rPr>
          <w:rFonts w:ascii="Times New Roman" w:hAnsi="Times New Roman"/>
          <w:sz w:val="24"/>
          <w:u w:val="single"/>
        </w:rPr>
        <w:t>Decision-making structure</w:t>
      </w:r>
    </w:p>
    <w:p w14:paraId="2D6BD1D0" w14:textId="522C6D9D" w:rsidR="003879C7" w:rsidRDefault="003879C7" w:rsidP="003879C7">
      <w:pPr>
        <w:pStyle w:val="ListParagraph"/>
        <w:numPr>
          <w:ilvl w:val="0"/>
          <w:numId w:val="1"/>
        </w:numPr>
        <w:spacing w:line="360" w:lineRule="auto"/>
        <w:jc w:val="both"/>
        <w:rPr>
          <w:rFonts w:ascii="Times New Roman" w:hAnsi="Times New Roman"/>
          <w:sz w:val="24"/>
        </w:rPr>
      </w:pPr>
      <w:r>
        <w:rPr>
          <w:rFonts w:ascii="Times New Roman" w:hAnsi="Times New Roman"/>
          <w:sz w:val="24"/>
        </w:rPr>
        <w:lastRenderedPageBreak/>
        <w:t xml:space="preserve">All planning applications have to be determined under s28(6) of the 2004 Act, that is in accordance with the </w:t>
      </w:r>
      <w:r w:rsidR="00A871E5">
        <w:rPr>
          <w:rFonts w:ascii="Times New Roman" w:hAnsi="Times New Roman"/>
          <w:sz w:val="24"/>
        </w:rPr>
        <w:t>development plan unless material considerations indicate otherwise. The relevant policies of the development plan are identified in the evidence of Mr Chapman</w:t>
      </w:r>
      <w:r w:rsidR="00A871E5">
        <w:rPr>
          <w:rStyle w:val="FootnoteReference"/>
          <w:rFonts w:ascii="Times New Roman" w:hAnsi="Times New Roman"/>
          <w:sz w:val="24"/>
        </w:rPr>
        <w:footnoteReference w:id="15"/>
      </w:r>
      <w:r w:rsidR="00A871E5">
        <w:rPr>
          <w:rFonts w:ascii="Times New Roman" w:hAnsi="Times New Roman"/>
          <w:sz w:val="24"/>
        </w:rPr>
        <w:t>, and in the planning statement of common ground</w:t>
      </w:r>
      <w:r w:rsidR="00C6637C">
        <w:rPr>
          <w:rStyle w:val="FootnoteReference"/>
          <w:rFonts w:ascii="Times New Roman" w:hAnsi="Times New Roman"/>
          <w:sz w:val="24"/>
        </w:rPr>
        <w:footnoteReference w:id="16"/>
      </w:r>
      <w:r w:rsidR="00C6637C">
        <w:rPr>
          <w:rFonts w:ascii="Times New Roman" w:hAnsi="Times New Roman"/>
          <w:sz w:val="24"/>
        </w:rPr>
        <w:t xml:space="preserve">. </w:t>
      </w:r>
      <w:r w:rsidR="008313E4">
        <w:rPr>
          <w:rFonts w:ascii="Times New Roman" w:hAnsi="Times New Roman"/>
          <w:sz w:val="24"/>
        </w:rPr>
        <w:t xml:space="preserve">The policies that the Council considers are breached are set out in relation to the above two issues. </w:t>
      </w:r>
      <w:r w:rsidR="00EF5824">
        <w:rPr>
          <w:rFonts w:ascii="Times New Roman" w:hAnsi="Times New Roman"/>
          <w:sz w:val="24"/>
        </w:rPr>
        <w:t>Mr Chapman’s conclusion is that the proposals fail to accord with the development plan read as a whole, and so there is a statutory presumption against the</w:t>
      </w:r>
      <w:r w:rsidR="003454DD">
        <w:rPr>
          <w:rFonts w:ascii="Times New Roman" w:hAnsi="Times New Roman"/>
          <w:sz w:val="24"/>
        </w:rPr>
        <w:t xml:space="preserve"> development. </w:t>
      </w:r>
    </w:p>
    <w:p w14:paraId="0D760591" w14:textId="77777777" w:rsidR="00A2448F" w:rsidRDefault="00A2448F" w:rsidP="00A2448F">
      <w:pPr>
        <w:pStyle w:val="ListParagraph"/>
        <w:spacing w:line="360" w:lineRule="auto"/>
        <w:jc w:val="both"/>
        <w:rPr>
          <w:rFonts w:ascii="Times New Roman" w:hAnsi="Times New Roman"/>
          <w:sz w:val="24"/>
        </w:rPr>
      </w:pPr>
    </w:p>
    <w:p w14:paraId="41EC78A8" w14:textId="6D7BF140" w:rsidR="003454DD" w:rsidRDefault="003454DD" w:rsidP="003879C7">
      <w:pPr>
        <w:pStyle w:val="ListParagraph"/>
        <w:numPr>
          <w:ilvl w:val="0"/>
          <w:numId w:val="1"/>
        </w:numPr>
        <w:spacing w:line="360" w:lineRule="auto"/>
        <w:jc w:val="both"/>
        <w:rPr>
          <w:rFonts w:ascii="Times New Roman" w:hAnsi="Times New Roman"/>
          <w:sz w:val="24"/>
        </w:rPr>
      </w:pPr>
      <w:r>
        <w:rPr>
          <w:rFonts w:ascii="Times New Roman" w:hAnsi="Times New Roman"/>
          <w:sz w:val="24"/>
        </w:rPr>
        <w:t>The NPPF is a material consideration</w:t>
      </w:r>
      <w:r w:rsidR="009D1CE6">
        <w:rPr>
          <w:rFonts w:ascii="Times New Roman" w:hAnsi="Times New Roman"/>
          <w:sz w:val="24"/>
        </w:rPr>
        <w:t>. The Appellant alleges that the tilted balance within paragraph 11 of the NPPF is engaged. That wil</w:t>
      </w:r>
      <w:r w:rsidR="00363C09">
        <w:rPr>
          <w:rFonts w:ascii="Times New Roman" w:hAnsi="Times New Roman"/>
          <w:sz w:val="24"/>
        </w:rPr>
        <w:t>l only be the case where:</w:t>
      </w:r>
    </w:p>
    <w:p w14:paraId="46E317A4" w14:textId="61DBF167" w:rsidR="00363C09" w:rsidRDefault="007E454B" w:rsidP="007E454B">
      <w:pPr>
        <w:pStyle w:val="ListParagraph"/>
        <w:numPr>
          <w:ilvl w:val="0"/>
          <w:numId w:val="5"/>
        </w:numPr>
        <w:spacing w:line="360" w:lineRule="auto"/>
        <w:jc w:val="both"/>
        <w:rPr>
          <w:rFonts w:ascii="Times New Roman" w:hAnsi="Times New Roman"/>
          <w:sz w:val="24"/>
        </w:rPr>
      </w:pPr>
      <w:r>
        <w:rPr>
          <w:rFonts w:ascii="Times New Roman" w:hAnsi="Times New Roman"/>
          <w:sz w:val="24"/>
        </w:rPr>
        <w:t>The most important policies for the determination of the application are out of date, or deemed out of date</w:t>
      </w:r>
      <w:r w:rsidR="008E74CC">
        <w:rPr>
          <w:rFonts w:ascii="Times New Roman" w:hAnsi="Times New Roman"/>
          <w:sz w:val="24"/>
        </w:rPr>
        <w:t xml:space="preserve"> by the absence of a five year housing land supply (para. 11(d)); </w:t>
      </w:r>
      <w:r w:rsidR="008E74CC">
        <w:rPr>
          <w:rFonts w:ascii="Times New Roman" w:hAnsi="Times New Roman"/>
          <w:sz w:val="24"/>
          <w:u w:val="single"/>
        </w:rPr>
        <w:t>and</w:t>
      </w:r>
    </w:p>
    <w:p w14:paraId="0FCEF175" w14:textId="7ACE43F6" w:rsidR="008E74CC" w:rsidRDefault="00B361CC" w:rsidP="007E454B">
      <w:pPr>
        <w:pStyle w:val="ListParagraph"/>
        <w:numPr>
          <w:ilvl w:val="0"/>
          <w:numId w:val="5"/>
        </w:numPr>
        <w:spacing w:line="360" w:lineRule="auto"/>
        <w:jc w:val="both"/>
        <w:rPr>
          <w:rFonts w:ascii="Times New Roman" w:hAnsi="Times New Roman"/>
          <w:sz w:val="24"/>
        </w:rPr>
      </w:pPr>
      <w:r>
        <w:rPr>
          <w:rFonts w:ascii="Times New Roman" w:hAnsi="Times New Roman"/>
          <w:sz w:val="24"/>
        </w:rPr>
        <w:t xml:space="preserve">The application of policies in this Framework that protect areas or assets of particular importance </w:t>
      </w:r>
      <w:r w:rsidR="000B7AD3">
        <w:rPr>
          <w:rFonts w:ascii="Times New Roman" w:hAnsi="Times New Roman"/>
          <w:sz w:val="24"/>
        </w:rPr>
        <w:t xml:space="preserve">does </w:t>
      </w:r>
      <w:r w:rsidR="000B7AD3" w:rsidRPr="000B7AD3">
        <w:rPr>
          <w:rFonts w:ascii="Times New Roman" w:hAnsi="Times New Roman"/>
          <w:sz w:val="24"/>
        </w:rPr>
        <w:t>not</w:t>
      </w:r>
      <w:r w:rsidR="000B7AD3">
        <w:rPr>
          <w:rFonts w:ascii="Times New Roman" w:hAnsi="Times New Roman"/>
          <w:sz w:val="24"/>
        </w:rPr>
        <w:t xml:space="preserve"> </w:t>
      </w:r>
      <w:r w:rsidRPr="000B7AD3">
        <w:rPr>
          <w:rFonts w:ascii="Times New Roman" w:hAnsi="Times New Roman"/>
          <w:sz w:val="24"/>
        </w:rPr>
        <w:t>provide</w:t>
      </w:r>
      <w:r>
        <w:rPr>
          <w:rFonts w:ascii="Times New Roman" w:hAnsi="Times New Roman"/>
          <w:sz w:val="24"/>
        </w:rPr>
        <w:t xml:space="preserve"> a clear reason for refusing the development proposed (11(d)(i).</w:t>
      </w:r>
    </w:p>
    <w:p w14:paraId="23169BD9" w14:textId="29741F43" w:rsidR="00615F5E" w:rsidRDefault="00615F5E" w:rsidP="00615F5E">
      <w:pPr>
        <w:spacing w:line="360" w:lineRule="auto"/>
        <w:jc w:val="both"/>
        <w:rPr>
          <w:rFonts w:ascii="Times New Roman" w:hAnsi="Times New Roman"/>
          <w:sz w:val="24"/>
        </w:rPr>
      </w:pPr>
    </w:p>
    <w:p w14:paraId="66E01CFD" w14:textId="03C043E0" w:rsidR="00615F5E" w:rsidRDefault="00615F5E" w:rsidP="00615F5E">
      <w:pPr>
        <w:pStyle w:val="ListParagraph"/>
        <w:numPr>
          <w:ilvl w:val="0"/>
          <w:numId w:val="1"/>
        </w:numPr>
        <w:spacing w:line="360" w:lineRule="auto"/>
        <w:jc w:val="both"/>
        <w:rPr>
          <w:rFonts w:ascii="Times New Roman" w:hAnsi="Times New Roman"/>
          <w:sz w:val="24"/>
        </w:rPr>
      </w:pPr>
      <w:r>
        <w:rPr>
          <w:rFonts w:ascii="Times New Roman" w:hAnsi="Times New Roman"/>
          <w:sz w:val="24"/>
        </w:rPr>
        <w:t>Listed buildings are identified as an asset of particular importance through footnote 6. The tilted balance can only the</w:t>
      </w:r>
      <w:r w:rsidR="003459C4">
        <w:rPr>
          <w:rFonts w:ascii="Times New Roman" w:hAnsi="Times New Roman"/>
          <w:sz w:val="24"/>
        </w:rPr>
        <w:t>n</w:t>
      </w:r>
      <w:r>
        <w:rPr>
          <w:rFonts w:ascii="Times New Roman" w:hAnsi="Times New Roman"/>
          <w:sz w:val="24"/>
        </w:rPr>
        <w:t xml:space="preserve"> apply in any event if </w:t>
      </w:r>
      <w:r w:rsidR="003459C4">
        <w:rPr>
          <w:rFonts w:ascii="Times New Roman" w:hAnsi="Times New Roman"/>
          <w:sz w:val="24"/>
        </w:rPr>
        <w:t xml:space="preserve">the development control tests in NPPF 195 or 196 (as appropriate) </w:t>
      </w:r>
      <w:r w:rsidR="00A2448F">
        <w:rPr>
          <w:rFonts w:ascii="Times New Roman" w:hAnsi="Times New Roman"/>
          <w:sz w:val="24"/>
        </w:rPr>
        <w:t xml:space="preserve">are passed. </w:t>
      </w:r>
    </w:p>
    <w:p w14:paraId="01F8A4B2" w14:textId="3C122103" w:rsidR="00A2448F" w:rsidRDefault="00A2448F" w:rsidP="00A2448F">
      <w:pPr>
        <w:pStyle w:val="ListParagraph"/>
        <w:spacing w:line="360" w:lineRule="auto"/>
        <w:jc w:val="both"/>
        <w:rPr>
          <w:rFonts w:ascii="Times New Roman" w:hAnsi="Times New Roman"/>
          <w:sz w:val="24"/>
        </w:rPr>
      </w:pPr>
    </w:p>
    <w:p w14:paraId="4BA5A5C9" w14:textId="38CC8361" w:rsidR="00A2448F" w:rsidRDefault="00A2448F" w:rsidP="00615F5E">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Mr Chapman has considered the most important policies for the determination of the application. Whether or not a policy is out of date involves an assessment </w:t>
      </w:r>
      <w:r w:rsidR="00FD0C06">
        <w:rPr>
          <w:rFonts w:ascii="Times New Roman" w:hAnsi="Times New Roman"/>
          <w:sz w:val="24"/>
        </w:rPr>
        <w:t>of the policies as a basket for their degree of consistency against the Framework</w:t>
      </w:r>
      <w:r w:rsidR="00A12B72">
        <w:rPr>
          <w:rFonts w:ascii="Times New Roman" w:hAnsi="Times New Roman"/>
          <w:sz w:val="24"/>
        </w:rPr>
        <w:t xml:space="preserve"> (paragraph 213)</w:t>
      </w:r>
      <w:r w:rsidR="00162924">
        <w:rPr>
          <w:rFonts w:ascii="Times New Roman" w:hAnsi="Times New Roman"/>
          <w:sz w:val="24"/>
        </w:rPr>
        <w:t>(</w:t>
      </w:r>
      <w:r w:rsidR="00162924">
        <w:rPr>
          <w:rFonts w:ascii="Times New Roman" w:hAnsi="Times New Roman"/>
          <w:sz w:val="24"/>
          <w:u w:val="single"/>
        </w:rPr>
        <w:t>Wavendon</w:t>
      </w:r>
      <w:r w:rsidR="00162924">
        <w:rPr>
          <w:rFonts w:ascii="Times New Roman" w:hAnsi="Times New Roman"/>
          <w:sz w:val="24"/>
        </w:rPr>
        <w:t>)</w:t>
      </w:r>
      <w:r w:rsidR="00A12B72">
        <w:rPr>
          <w:rFonts w:ascii="Times New Roman" w:hAnsi="Times New Roman"/>
          <w:sz w:val="24"/>
        </w:rPr>
        <w:t xml:space="preserve">. It is not a question of age, but </w:t>
      </w:r>
      <w:r w:rsidR="00A27BB9">
        <w:rPr>
          <w:rFonts w:ascii="Times New Roman" w:hAnsi="Times New Roman"/>
          <w:sz w:val="24"/>
        </w:rPr>
        <w:t>substantive consistency, and involves a judgment as a matter of degree. Mr Chapman’s assessment is set out in his proof of evidence</w:t>
      </w:r>
      <w:r w:rsidR="00991B17">
        <w:rPr>
          <w:rFonts w:ascii="Times New Roman" w:hAnsi="Times New Roman"/>
          <w:sz w:val="24"/>
        </w:rPr>
        <w:t xml:space="preserve">, and summarised in the planning statement of common ground and is not repeated here. Mr Chapman concludes that </w:t>
      </w:r>
      <w:r w:rsidR="00001D7A">
        <w:rPr>
          <w:rFonts w:ascii="Times New Roman" w:hAnsi="Times New Roman"/>
          <w:sz w:val="24"/>
        </w:rPr>
        <w:t xml:space="preserve">the most important policies are not out of date. </w:t>
      </w:r>
    </w:p>
    <w:p w14:paraId="6B7E5BB3" w14:textId="77777777" w:rsidR="00F676AA" w:rsidRPr="00F676AA" w:rsidRDefault="00F676AA" w:rsidP="00F676AA">
      <w:pPr>
        <w:pStyle w:val="ListParagraph"/>
        <w:rPr>
          <w:rFonts w:ascii="Times New Roman" w:hAnsi="Times New Roman"/>
          <w:sz w:val="24"/>
        </w:rPr>
      </w:pPr>
    </w:p>
    <w:p w14:paraId="62A7A008" w14:textId="77777777" w:rsidR="00ED145F" w:rsidRDefault="00F676AA" w:rsidP="00615F5E">
      <w:pPr>
        <w:pStyle w:val="ListParagraph"/>
        <w:numPr>
          <w:ilvl w:val="0"/>
          <w:numId w:val="1"/>
        </w:numPr>
        <w:spacing w:line="360" w:lineRule="auto"/>
        <w:jc w:val="both"/>
        <w:rPr>
          <w:rFonts w:ascii="Times New Roman" w:hAnsi="Times New Roman"/>
          <w:sz w:val="24"/>
        </w:rPr>
      </w:pPr>
      <w:r>
        <w:rPr>
          <w:rFonts w:ascii="Times New Roman" w:hAnsi="Times New Roman"/>
          <w:sz w:val="24"/>
        </w:rPr>
        <w:lastRenderedPageBreak/>
        <w:t xml:space="preserve">The evidence of Mrs Stephens shows that the Council is able to demonstrate a five year housing land supply, and so the policies are not deemed out of date for that reason. </w:t>
      </w:r>
    </w:p>
    <w:p w14:paraId="53B340E6" w14:textId="77777777" w:rsidR="00ED145F" w:rsidRPr="00ED145F" w:rsidRDefault="00ED145F" w:rsidP="00ED145F">
      <w:pPr>
        <w:pStyle w:val="ListParagraph"/>
        <w:rPr>
          <w:rFonts w:ascii="Times New Roman" w:hAnsi="Times New Roman"/>
          <w:sz w:val="24"/>
        </w:rPr>
      </w:pPr>
    </w:p>
    <w:p w14:paraId="049BE3C9" w14:textId="538F0A83" w:rsidR="00F676AA" w:rsidRDefault="00F676AA" w:rsidP="00615F5E">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 </w:t>
      </w:r>
      <w:r w:rsidR="00957F7A">
        <w:rPr>
          <w:rFonts w:ascii="Times New Roman" w:hAnsi="Times New Roman"/>
          <w:sz w:val="24"/>
        </w:rPr>
        <w:t>Accordingly, the Council’s conclusion is that the proper decision-making structure for this determination i</w:t>
      </w:r>
      <w:r w:rsidR="00162924">
        <w:rPr>
          <w:rFonts w:ascii="Times New Roman" w:hAnsi="Times New Roman"/>
          <w:sz w:val="24"/>
        </w:rPr>
        <w:t>s</w:t>
      </w:r>
      <w:r w:rsidR="00957F7A">
        <w:rPr>
          <w:rFonts w:ascii="Times New Roman" w:hAnsi="Times New Roman"/>
          <w:sz w:val="24"/>
        </w:rPr>
        <w:t xml:space="preserve"> the straightforward balancing exercise required by section 38(6) of the 2004 Act, and not the tilted balance. In addition, the tilted balance would not be engaged due to the failure to pass the appropriate development control test in the NPPF relating to the protection of listed buildings.</w:t>
      </w:r>
    </w:p>
    <w:p w14:paraId="74E8B990" w14:textId="77777777" w:rsidR="00957F7A" w:rsidRPr="00957F7A" w:rsidRDefault="00957F7A" w:rsidP="00957F7A">
      <w:pPr>
        <w:pStyle w:val="ListParagraph"/>
        <w:rPr>
          <w:rFonts w:ascii="Times New Roman" w:hAnsi="Times New Roman"/>
          <w:sz w:val="24"/>
        </w:rPr>
      </w:pPr>
    </w:p>
    <w:p w14:paraId="1F7F623E" w14:textId="0B8A46AB" w:rsidR="00957F7A" w:rsidRDefault="00957F7A" w:rsidP="00957F7A">
      <w:pPr>
        <w:spacing w:line="360" w:lineRule="auto"/>
        <w:jc w:val="both"/>
        <w:rPr>
          <w:rFonts w:ascii="Times New Roman" w:hAnsi="Times New Roman"/>
          <w:sz w:val="24"/>
        </w:rPr>
      </w:pPr>
      <w:r>
        <w:rPr>
          <w:rFonts w:ascii="Times New Roman" w:hAnsi="Times New Roman"/>
          <w:sz w:val="24"/>
          <w:u w:val="single"/>
        </w:rPr>
        <w:t>Substantive Balance</w:t>
      </w:r>
    </w:p>
    <w:p w14:paraId="52C5D514" w14:textId="7A28393A" w:rsidR="00957F7A" w:rsidRDefault="00352080" w:rsidP="00957F7A">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 substantive harm that the Council relies on is that identified under issues 1 and 2 above. </w:t>
      </w:r>
      <w:r w:rsidR="00AA64DC">
        <w:rPr>
          <w:rFonts w:ascii="Times New Roman" w:hAnsi="Times New Roman"/>
          <w:sz w:val="24"/>
        </w:rPr>
        <w:t xml:space="preserve">For the reasons summarised above national policy </w:t>
      </w:r>
      <w:r w:rsidR="0033594D">
        <w:rPr>
          <w:rFonts w:ascii="Times New Roman" w:hAnsi="Times New Roman"/>
          <w:sz w:val="24"/>
        </w:rPr>
        <w:t xml:space="preserve">recognises </w:t>
      </w:r>
      <w:r w:rsidR="00E1398B">
        <w:rPr>
          <w:rFonts w:ascii="Times New Roman" w:hAnsi="Times New Roman"/>
          <w:sz w:val="24"/>
        </w:rPr>
        <w:t xml:space="preserve">the </w:t>
      </w:r>
      <w:r w:rsidR="0045018C">
        <w:rPr>
          <w:rFonts w:ascii="Times New Roman" w:hAnsi="Times New Roman"/>
          <w:sz w:val="24"/>
          <w:u w:val="single"/>
        </w:rPr>
        <w:t>intrinsic</w:t>
      </w:r>
      <w:r w:rsidR="0045018C">
        <w:rPr>
          <w:rFonts w:ascii="Times New Roman" w:hAnsi="Times New Roman"/>
          <w:sz w:val="24"/>
        </w:rPr>
        <w:t xml:space="preserve"> character and beauty of the countryside and </w:t>
      </w:r>
      <w:r w:rsidR="0038272B">
        <w:rPr>
          <w:rFonts w:ascii="Times New Roman" w:hAnsi="Times New Roman"/>
          <w:sz w:val="24"/>
        </w:rPr>
        <w:t xml:space="preserve">requires development to be sympathetic to local character and the surrounding </w:t>
      </w:r>
      <w:r w:rsidR="00593AB1">
        <w:rPr>
          <w:rFonts w:ascii="Times New Roman" w:hAnsi="Times New Roman"/>
          <w:sz w:val="24"/>
        </w:rPr>
        <w:t xml:space="preserve">built environment and landscaping. It gives great weight to the </w:t>
      </w:r>
      <w:r w:rsidR="00823C49">
        <w:rPr>
          <w:rFonts w:ascii="Times New Roman" w:hAnsi="Times New Roman"/>
          <w:sz w:val="24"/>
        </w:rPr>
        <w:t>conservation of the significance of listed buildings. Those fundamental tenets of national policy underpin a number of the most important local plan policies</w:t>
      </w:r>
      <w:r w:rsidR="00296D62">
        <w:rPr>
          <w:rFonts w:ascii="Times New Roman" w:hAnsi="Times New Roman"/>
          <w:sz w:val="24"/>
        </w:rPr>
        <w:t xml:space="preserve">, which deserve weight accordingly. </w:t>
      </w:r>
    </w:p>
    <w:p w14:paraId="74286179" w14:textId="77777777" w:rsidR="008374A4" w:rsidRDefault="008374A4" w:rsidP="008374A4">
      <w:pPr>
        <w:pStyle w:val="ListParagraph"/>
        <w:spacing w:line="360" w:lineRule="auto"/>
        <w:jc w:val="both"/>
        <w:rPr>
          <w:rFonts w:ascii="Times New Roman" w:hAnsi="Times New Roman"/>
          <w:sz w:val="24"/>
        </w:rPr>
      </w:pPr>
    </w:p>
    <w:p w14:paraId="351CD4EE" w14:textId="6F35CDF7" w:rsidR="00262CE6" w:rsidRDefault="00262CE6" w:rsidP="00957F7A">
      <w:pPr>
        <w:pStyle w:val="ListParagraph"/>
        <w:numPr>
          <w:ilvl w:val="0"/>
          <w:numId w:val="1"/>
        </w:numPr>
        <w:spacing w:line="360" w:lineRule="auto"/>
        <w:jc w:val="both"/>
        <w:rPr>
          <w:rFonts w:ascii="Times New Roman" w:hAnsi="Times New Roman"/>
          <w:sz w:val="24"/>
        </w:rPr>
      </w:pPr>
      <w:r>
        <w:rPr>
          <w:rFonts w:ascii="Times New Roman" w:hAnsi="Times New Roman"/>
          <w:sz w:val="24"/>
        </w:rPr>
        <w:t>The appeal site is within a designated area of open space</w:t>
      </w:r>
      <w:r w:rsidR="00E97DE7">
        <w:rPr>
          <w:rFonts w:ascii="Times New Roman" w:hAnsi="Times New Roman"/>
          <w:sz w:val="24"/>
        </w:rPr>
        <w:t xml:space="preserve"> </w:t>
      </w:r>
      <w:r w:rsidR="008929EA">
        <w:rPr>
          <w:rFonts w:ascii="Times New Roman" w:hAnsi="Times New Roman"/>
          <w:sz w:val="24"/>
        </w:rPr>
        <w:t>for the purpose of LR5 of the UDP</w:t>
      </w:r>
      <w:r w:rsidR="00E97DE7">
        <w:rPr>
          <w:rFonts w:ascii="Times New Roman" w:hAnsi="Times New Roman"/>
          <w:sz w:val="24"/>
        </w:rPr>
        <w:t>– the designati</w:t>
      </w:r>
      <w:r w:rsidR="00435CDE">
        <w:rPr>
          <w:rFonts w:ascii="Times New Roman" w:hAnsi="Times New Roman"/>
          <w:sz w:val="24"/>
        </w:rPr>
        <w:t>on</w:t>
      </w:r>
      <w:r w:rsidR="00E97DE7">
        <w:rPr>
          <w:rFonts w:ascii="Times New Roman" w:hAnsi="Times New Roman"/>
          <w:sz w:val="24"/>
        </w:rPr>
        <w:t xml:space="preserve"> speaking to the role of the openness and appearance of the appeal site and surrounding open land.</w:t>
      </w:r>
      <w:r w:rsidR="001559CE">
        <w:rPr>
          <w:rFonts w:ascii="Times New Roman" w:hAnsi="Times New Roman"/>
          <w:sz w:val="24"/>
        </w:rPr>
        <w:t xml:space="preserve"> This is also the effect of </w:t>
      </w:r>
      <w:r w:rsidR="005A1A23">
        <w:rPr>
          <w:rFonts w:ascii="Times New Roman" w:hAnsi="Times New Roman"/>
          <w:sz w:val="24"/>
        </w:rPr>
        <w:t xml:space="preserve">CS47 of the Core Strategy </w:t>
      </w:r>
      <w:r w:rsidR="001825B6">
        <w:rPr>
          <w:rFonts w:ascii="Times New Roman" w:hAnsi="Times New Roman"/>
          <w:sz w:val="24"/>
        </w:rPr>
        <w:t xml:space="preserve">which prevents the loss of open space of high quality landscape value (open space being specifically to include </w:t>
      </w:r>
      <w:r w:rsidR="00FA11AF">
        <w:rPr>
          <w:rFonts w:ascii="Times New Roman" w:hAnsi="Times New Roman"/>
          <w:sz w:val="24"/>
        </w:rPr>
        <w:t>private areas predominantly open in character</w:t>
      </w:r>
      <w:r w:rsidR="009A4D16">
        <w:rPr>
          <w:rStyle w:val="FootnoteReference"/>
          <w:rFonts w:ascii="Times New Roman" w:hAnsi="Times New Roman"/>
          <w:sz w:val="24"/>
        </w:rPr>
        <w:footnoteReference w:id="17"/>
      </w:r>
      <w:r w:rsidR="00FA11AF">
        <w:rPr>
          <w:rFonts w:ascii="Times New Roman" w:hAnsi="Times New Roman"/>
          <w:sz w:val="24"/>
        </w:rPr>
        <w:t>)</w:t>
      </w:r>
      <w:r w:rsidR="009A4D16">
        <w:rPr>
          <w:rFonts w:ascii="Times New Roman" w:hAnsi="Times New Roman"/>
          <w:sz w:val="24"/>
        </w:rPr>
        <w:t xml:space="preserve">. </w:t>
      </w:r>
      <w:r w:rsidR="00E97DE7">
        <w:rPr>
          <w:rFonts w:ascii="Times New Roman" w:hAnsi="Times New Roman"/>
          <w:sz w:val="24"/>
        </w:rPr>
        <w:t xml:space="preserve"> </w:t>
      </w:r>
      <w:r w:rsidR="008929EA">
        <w:rPr>
          <w:rFonts w:ascii="Times New Roman" w:hAnsi="Times New Roman"/>
          <w:sz w:val="24"/>
        </w:rPr>
        <w:t xml:space="preserve">It is also </w:t>
      </w:r>
      <w:r w:rsidR="004A68F3">
        <w:rPr>
          <w:rFonts w:ascii="Times New Roman" w:hAnsi="Times New Roman"/>
          <w:sz w:val="24"/>
        </w:rPr>
        <w:t xml:space="preserve">part of a </w:t>
      </w:r>
      <w:r w:rsidR="006A7AF5">
        <w:rPr>
          <w:rFonts w:ascii="Times New Roman" w:hAnsi="Times New Roman"/>
          <w:sz w:val="24"/>
        </w:rPr>
        <w:t>specific</w:t>
      </w:r>
      <w:r w:rsidR="004A68F3">
        <w:rPr>
          <w:rFonts w:ascii="Times New Roman" w:hAnsi="Times New Roman"/>
          <w:sz w:val="24"/>
        </w:rPr>
        <w:t xml:space="preserve"> area of Countryside Not in the Gree</w:t>
      </w:r>
      <w:r w:rsidR="00435CDE">
        <w:rPr>
          <w:rFonts w:ascii="Times New Roman" w:hAnsi="Times New Roman"/>
          <w:sz w:val="24"/>
        </w:rPr>
        <w:t>n</w:t>
      </w:r>
      <w:r w:rsidR="004A68F3">
        <w:rPr>
          <w:rFonts w:ascii="Times New Roman" w:hAnsi="Times New Roman"/>
          <w:sz w:val="24"/>
        </w:rPr>
        <w:t xml:space="preserve"> Belt protected under CS72 </w:t>
      </w:r>
      <w:r w:rsidR="00CC6CFA">
        <w:rPr>
          <w:rFonts w:ascii="Times New Roman" w:hAnsi="Times New Roman"/>
          <w:sz w:val="24"/>
        </w:rPr>
        <w:t xml:space="preserve">of the Core </w:t>
      </w:r>
      <w:r w:rsidR="006A7AF5">
        <w:rPr>
          <w:rFonts w:ascii="Times New Roman" w:hAnsi="Times New Roman"/>
          <w:sz w:val="24"/>
        </w:rPr>
        <w:t>Strategy to</w:t>
      </w:r>
      <w:r w:rsidR="004A68F3">
        <w:rPr>
          <w:rFonts w:ascii="Times New Roman" w:hAnsi="Times New Roman"/>
          <w:sz w:val="24"/>
        </w:rPr>
        <w:t xml:space="preserve"> be prote</w:t>
      </w:r>
      <w:r w:rsidR="00266B20">
        <w:rPr>
          <w:rFonts w:ascii="Times New Roman" w:hAnsi="Times New Roman"/>
          <w:sz w:val="24"/>
        </w:rPr>
        <w:t xml:space="preserve">cted as open countryside due to its green open and rural character, as part of </w:t>
      </w:r>
      <w:r w:rsidR="00435CDE">
        <w:rPr>
          <w:rFonts w:ascii="Times New Roman" w:hAnsi="Times New Roman"/>
          <w:sz w:val="24"/>
        </w:rPr>
        <w:t>a</w:t>
      </w:r>
      <w:r w:rsidR="00266B20">
        <w:rPr>
          <w:rFonts w:ascii="Times New Roman" w:hAnsi="Times New Roman"/>
          <w:sz w:val="24"/>
        </w:rPr>
        <w:t xml:space="preserve"> larger and integral part of the countryside south of Stocksbridge which is prominent in local views and provides an important visual breach between the settlements of Stocksbridge and Deepcar</w:t>
      </w:r>
      <w:r w:rsidR="00FF5E43">
        <w:rPr>
          <w:rFonts w:ascii="Times New Roman" w:hAnsi="Times New Roman"/>
          <w:sz w:val="24"/>
        </w:rPr>
        <w:t xml:space="preserve">, with its rural character greatly valued locally. It is consistent with, not inconsistent, national policy that such areas should be the subject of specific development control tests to maintain their character. </w:t>
      </w:r>
      <w:r w:rsidR="00C7741A">
        <w:rPr>
          <w:rFonts w:ascii="Times New Roman" w:hAnsi="Times New Roman"/>
          <w:sz w:val="24"/>
        </w:rPr>
        <w:t xml:space="preserve">The Appellant takes a forensic approach to policy wording in order to downplay the weight to be given to these policies but in reality they do serve the broad objectives of the Framework </w:t>
      </w:r>
      <w:r w:rsidR="00C7741A">
        <w:rPr>
          <w:rFonts w:ascii="Times New Roman" w:hAnsi="Times New Roman"/>
          <w:sz w:val="24"/>
        </w:rPr>
        <w:lastRenderedPageBreak/>
        <w:t xml:space="preserve">described above, in a way tailored to the local planning authority area and the specific characteristics of </w:t>
      </w:r>
      <w:r w:rsidR="00CB1492">
        <w:rPr>
          <w:rFonts w:ascii="Times New Roman" w:hAnsi="Times New Roman"/>
          <w:sz w:val="24"/>
        </w:rPr>
        <w:t xml:space="preserve">it, and specific areas of it, including the appeal site. </w:t>
      </w:r>
      <w:r w:rsidR="00B6690D">
        <w:rPr>
          <w:rFonts w:ascii="Times New Roman" w:hAnsi="Times New Roman"/>
          <w:sz w:val="24"/>
        </w:rPr>
        <w:t>The policies are also consistent with the NPPF’s support for the redevelopment of brownfield land, particularly within settlements</w:t>
      </w:r>
      <w:r w:rsidR="00B6690D">
        <w:rPr>
          <w:rStyle w:val="FootnoteReference"/>
          <w:rFonts w:ascii="Times New Roman" w:hAnsi="Times New Roman"/>
          <w:sz w:val="24"/>
        </w:rPr>
        <w:footnoteReference w:id="18"/>
      </w:r>
      <w:r w:rsidR="00B6690D">
        <w:rPr>
          <w:rFonts w:ascii="Times New Roman" w:hAnsi="Times New Roman"/>
          <w:sz w:val="24"/>
        </w:rPr>
        <w:t>.</w:t>
      </w:r>
      <w:r w:rsidR="00735CDC">
        <w:rPr>
          <w:rFonts w:ascii="Times New Roman" w:hAnsi="Times New Roman"/>
          <w:sz w:val="24"/>
        </w:rPr>
        <w:t xml:space="preserve"> The development of greenfield sites outside of the settlement does not accord with the underlying objectives</w:t>
      </w:r>
      <w:r w:rsidR="009E2346">
        <w:rPr>
          <w:rFonts w:ascii="Times New Roman" w:hAnsi="Times New Roman"/>
          <w:sz w:val="24"/>
        </w:rPr>
        <w:t xml:space="preserve"> of the suite of locational policies identified by Mr Chapman, which again are broadly consistent with the objectives of the Framework (</w:t>
      </w:r>
      <w:r w:rsidR="0014542B">
        <w:rPr>
          <w:rFonts w:ascii="Times New Roman" w:hAnsi="Times New Roman"/>
          <w:sz w:val="24"/>
        </w:rPr>
        <w:t>CS23, CS24, CS33</w:t>
      </w:r>
      <w:r w:rsidR="007A1F69">
        <w:rPr>
          <w:rFonts w:ascii="Times New Roman" w:hAnsi="Times New Roman"/>
          <w:sz w:val="24"/>
        </w:rPr>
        <w:t xml:space="preserve"> and CS63(h). </w:t>
      </w:r>
    </w:p>
    <w:p w14:paraId="07D72266" w14:textId="77777777" w:rsidR="00046D02" w:rsidRDefault="00046D02" w:rsidP="00046D02">
      <w:pPr>
        <w:pStyle w:val="ListParagraph"/>
        <w:spacing w:line="360" w:lineRule="auto"/>
        <w:jc w:val="both"/>
        <w:rPr>
          <w:rFonts w:ascii="Times New Roman" w:hAnsi="Times New Roman"/>
          <w:sz w:val="24"/>
        </w:rPr>
      </w:pPr>
    </w:p>
    <w:p w14:paraId="2DBBFA54" w14:textId="634F4BF7" w:rsidR="00276DF6" w:rsidRDefault="00276DF6" w:rsidP="00957F7A">
      <w:pPr>
        <w:pStyle w:val="ListParagraph"/>
        <w:numPr>
          <w:ilvl w:val="0"/>
          <w:numId w:val="1"/>
        </w:numPr>
        <w:spacing w:line="360" w:lineRule="auto"/>
        <w:jc w:val="both"/>
        <w:rPr>
          <w:rFonts w:ascii="Times New Roman" w:hAnsi="Times New Roman"/>
          <w:sz w:val="24"/>
        </w:rPr>
      </w:pPr>
      <w:r>
        <w:rPr>
          <w:rFonts w:ascii="Times New Roman" w:hAnsi="Times New Roman"/>
          <w:sz w:val="24"/>
        </w:rPr>
        <w:t>The heritage policies contain the central objective of the Framework</w:t>
      </w:r>
      <w:r w:rsidR="009A33E9">
        <w:rPr>
          <w:rFonts w:ascii="Times New Roman" w:hAnsi="Times New Roman"/>
          <w:sz w:val="24"/>
        </w:rPr>
        <w:t xml:space="preserve"> – that is reflective of the statutory duty (S66LBA 1990) to </w:t>
      </w:r>
      <w:r w:rsidR="0063662E">
        <w:rPr>
          <w:rFonts w:ascii="Times New Roman" w:hAnsi="Times New Roman"/>
          <w:sz w:val="24"/>
        </w:rPr>
        <w:t xml:space="preserve">pay special regard to the desirability of </w:t>
      </w:r>
      <w:r w:rsidR="009A33E9">
        <w:rPr>
          <w:rFonts w:ascii="Times New Roman" w:hAnsi="Times New Roman"/>
          <w:sz w:val="24"/>
        </w:rPr>
        <w:t>preserv</w:t>
      </w:r>
      <w:r w:rsidR="00514FB1">
        <w:rPr>
          <w:rFonts w:ascii="Times New Roman" w:hAnsi="Times New Roman"/>
          <w:sz w:val="24"/>
        </w:rPr>
        <w:t xml:space="preserve">ing </w:t>
      </w:r>
      <w:r w:rsidR="009A33E9">
        <w:rPr>
          <w:rFonts w:ascii="Times New Roman" w:hAnsi="Times New Roman"/>
          <w:sz w:val="24"/>
        </w:rPr>
        <w:t xml:space="preserve">listed buildings and their settings. </w:t>
      </w:r>
      <w:r w:rsidR="00514FB1">
        <w:rPr>
          <w:rFonts w:ascii="Times New Roman" w:hAnsi="Times New Roman"/>
          <w:sz w:val="24"/>
        </w:rPr>
        <w:t>Policies BE15</w:t>
      </w:r>
      <w:r w:rsidR="00587EE2">
        <w:rPr>
          <w:rFonts w:ascii="Times New Roman" w:hAnsi="Times New Roman"/>
          <w:sz w:val="24"/>
        </w:rPr>
        <w:t xml:space="preserve"> UDP and BE19 CS</w:t>
      </w:r>
      <w:r w:rsidR="00C65561">
        <w:rPr>
          <w:rFonts w:ascii="Times New Roman" w:hAnsi="Times New Roman"/>
          <w:sz w:val="24"/>
        </w:rPr>
        <w:t xml:space="preserve"> reflect this duty</w:t>
      </w:r>
      <w:r w:rsidR="00587EE2">
        <w:rPr>
          <w:rFonts w:ascii="Times New Roman" w:hAnsi="Times New Roman"/>
          <w:sz w:val="24"/>
        </w:rPr>
        <w:t xml:space="preserve">, albeit they lack the in-built balancing exercises within NPPF 195 and 196. </w:t>
      </w:r>
      <w:r w:rsidR="00956707">
        <w:rPr>
          <w:rFonts w:ascii="Times New Roman" w:hAnsi="Times New Roman"/>
          <w:sz w:val="24"/>
        </w:rPr>
        <w:t xml:space="preserve">Mr Bourn draws attention to the </w:t>
      </w:r>
      <w:r w:rsidR="00956707">
        <w:rPr>
          <w:rFonts w:ascii="Times New Roman" w:hAnsi="Times New Roman"/>
          <w:sz w:val="24"/>
          <w:u w:val="single"/>
        </w:rPr>
        <w:t>Bramshill</w:t>
      </w:r>
      <w:r w:rsidR="00956707">
        <w:rPr>
          <w:rFonts w:ascii="Times New Roman" w:hAnsi="Times New Roman"/>
          <w:sz w:val="24"/>
        </w:rPr>
        <w:t xml:space="preserve"> judgment, where Court of Appeal upheld the giving of significant weight to analogous policies. </w:t>
      </w:r>
    </w:p>
    <w:p w14:paraId="5CB19312" w14:textId="77777777" w:rsidR="00046D02" w:rsidRPr="00046D02" w:rsidRDefault="00046D02" w:rsidP="00046D02">
      <w:pPr>
        <w:pStyle w:val="ListParagraph"/>
        <w:rPr>
          <w:rFonts w:ascii="Times New Roman" w:hAnsi="Times New Roman"/>
          <w:sz w:val="24"/>
        </w:rPr>
      </w:pPr>
    </w:p>
    <w:p w14:paraId="7422234F" w14:textId="39CD163D" w:rsidR="00046D02" w:rsidRDefault="00046D02" w:rsidP="00957F7A">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There are, of course, benefits through the development of the appeal site, principally the delivery of up to 85 </w:t>
      </w:r>
      <w:r w:rsidR="005A0D6F">
        <w:rPr>
          <w:rFonts w:ascii="Times New Roman" w:hAnsi="Times New Roman"/>
          <w:sz w:val="24"/>
        </w:rPr>
        <w:t xml:space="preserve">homes of which </w:t>
      </w:r>
      <w:r w:rsidR="00435CDE">
        <w:rPr>
          <w:rFonts w:ascii="Times New Roman" w:hAnsi="Times New Roman"/>
          <w:sz w:val="24"/>
        </w:rPr>
        <w:t xml:space="preserve">(the floorspace equivalent of about) </w:t>
      </w:r>
      <w:r w:rsidR="005A0D6F">
        <w:rPr>
          <w:rFonts w:ascii="Times New Roman" w:hAnsi="Times New Roman"/>
          <w:sz w:val="24"/>
        </w:rPr>
        <w:t xml:space="preserve">8 or 9 will be affordable. </w:t>
      </w:r>
    </w:p>
    <w:p w14:paraId="3D7F7316" w14:textId="77777777" w:rsidR="00D03E67" w:rsidRPr="00D03E67" w:rsidRDefault="00D03E67" w:rsidP="00D03E67">
      <w:pPr>
        <w:pStyle w:val="ListParagraph"/>
        <w:rPr>
          <w:rFonts w:ascii="Times New Roman" w:hAnsi="Times New Roman"/>
          <w:sz w:val="24"/>
        </w:rPr>
      </w:pPr>
    </w:p>
    <w:p w14:paraId="2B193209" w14:textId="514C5EFE" w:rsidR="00D03E67" w:rsidRPr="00835E1C" w:rsidRDefault="00D03E67" w:rsidP="00D03E67">
      <w:pPr>
        <w:pStyle w:val="ListParagraph"/>
        <w:numPr>
          <w:ilvl w:val="0"/>
          <w:numId w:val="1"/>
        </w:numPr>
        <w:spacing w:line="360" w:lineRule="auto"/>
        <w:jc w:val="both"/>
        <w:rPr>
          <w:rFonts w:ascii="Times New Roman" w:hAnsi="Times New Roman"/>
          <w:b/>
          <w:bCs/>
          <w:sz w:val="24"/>
        </w:rPr>
      </w:pPr>
      <w:r>
        <w:rPr>
          <w:rFonts w:ascii="Times New Roman" w:hAnsi="Times New Roman"/>
          <w:sz w:val="24"/>
        </w:rPr>
        <w:t xml:space="preserve">Further, in this context, the Council’s position is that the appropriate HLS figure taking a base date of 1 April 2020 is 5.4 years. </w:t>
      </w:r>
    </w:p>
    <w:p w14:paraId="00A1492F" w14:textId="77777777" w:rsidR="00D03E67" w:rsidRPr="00835E1C" w:rsidRDefault="00D03E67" w:rsidP="00D03E67">
      <w:pPr>
        <w:pStyle w:val="ListParagraph"/>
        <w:rPr>
          <w:rFonts w:ascii="Times New Roman" w:hAnsi="Times New Roman"/>
          <w:b/>
          <w:bCs/>
          <w:sz w:val="24"/>
        </w:rPr>
      </w:pPr>
    </w:p>
    <w:p w14:paraId="23FAECCF" w14:textId="6567982B" w:rsidR="006C07EC" w:rsidRPr="00906EC1" w:rsidRDefault="00AF79D8" w:rsidP="006C07EC">
      <w:pPr>
        <w:pStyle w:val="ListParagraph"/>
        <w:numPr>
          <w:ilvl w:val="0"/>
          <w:numId w:val="1"/>
        </w:numPr>
        <w:spacing w:line="360" w:lineRule="auto"/>
        <w:jc w:val="both"/>
        <w:rPr>
          <w:rFonts w:ascii="Times New Roman" w:hAnsi="Times New Roman"/>
          <w:b/>
          <w:bCs/>
          <w:sz w:val="24"/>
        </w:rPr>
      </w:pPr>
      <w:r>
        <w:rPr>
          <w:rFonts w:ascii="Times New Roman" w:hAnsi="Times New Roman"/>
          <w:sz w:val="24"/>
        </w:rPr>
        <w:t>S</w:t>
      </w:r>
      <w:r w:rsidR="00D03E67">
        <w:rPr>
          <w:rFonts w:ascii="Times New Roman" w:hAnsi="Times New Roman"/>
          <w:sz w:val="24"/>
        </w:rPr>
        <w:t xml:space="preserve">uccinctly, the Council maintains that it is critical that a consistent approach is taken to the base date for the requirement and the supply side of the equation. The appropriate base date is 1 April 2020. The completion data for a base date of 1 April 2021 is not available. Each element of the supply has been assessed as deliverable at that date within the meaning of the Framework. A robust and reliable approach has been taken. It is important to remember that the essential test for deliverability includes availability and suitability – which do not appear to be in real dispute – and achievability. The touchstone for achievability is a “realistic prospect that housing will be delivered on the site within 5 years”. For Category A sites this is the case unless there is clear evidence homes will not be delivered for 5 years. For Category B sites, there should be clear evidence that completions will begin within 5 years. That provides a realistic </w:t>
      </w:r>
      <w:r w:rsidR="00D03E67">
        <w:rPr>
          <w:rFonts w:ascii="Times New Roman" w:hAnsi="Times New Roman"/>
          <w:sz w:val="24"/>
        </w:rPr>
        <w:lastRenderedPageBreak/>
        <w:t>prospect of housing – demonstrating achievability. The Council maintains all the sites included are deliverable in these terms. The Appellant relies on information that relates to events post-dating the base date. That is inappropriate as conversely additions to the supply have not been included. The Council maintains the Appellant’s exclusion of deliverable student units is inconsistent with the PPG. It is also wrong in principle to seek unilaterally to increase the requirement beyond 17</w:t>
      </w:r>
      <w:r w:rsidR="00D03E67" w:rsidRPr="00821042">
        <w:rPr>
          <w:rFonts w:ascii="Times New Roman" w:hAnsi="Times New Roman"/>
          <w:sz w:val="24"/>
          <w:vertAlign w:val="superscript"/>
        </w:rPr>
        <w:t>th</w:t>
      </w:r>
      <w:r w:rsidR="00D03E67">
        <w:rPr>
          <w:rFonts w:ascii="Times New Roman" w:hAnsi="Times New Roman"/>
          <w:sz w:val="24"/>
        </w:rPr>
        <w:t xml:space="preserve"> June  2021 to reflect an urban uplift without providing a robust up-dated supply figure. </w:t>
      </w:r>
      <w:r w:rsidR="006C07EC">
        <w:rPr>
          <w:rFonts w:ascii="Times New Roman" w:hAnsi="Times New Roman"/>
          <w:sz w:val="24"/>
        </w:rPr>
        <w:t xml:space="preserve">The appropriate time for this to be addressed is through next year’s AMR, which should be available by the end of next month. </w:t>
      </w:r>
      <w:r w:rsidR="00626BC5">
        <w:rPr>
          <w:rFonts w:ascii="Times New Roman" w:hAnsi="Times New Roman"/>
          <w:sz w:val="24"/>
        </w:rPr>
        <w:t xml:space="preserve">The uplift provision in the PPG does not override the discretion as to the identification of the most appropriate base date in all the circumstances. </w:t>
      </w:r>
      <w:r w:rsidR="00E119F7">
        <w:rPr>
          <w:rFonts w:ascii="Times New Roman" w:hAnsi="Times New Roman"/>
          <w:sz w:val="24"/>
        </w:rPr>
        <w:t xml:space="preserve">This is a </w:t>
      </w:r>
      <w:r w:rsidR="007723E8">
        <w:rPr>
          <w:rFonts w:ascii="Times New Roman" w:hAnsi="Times New Roman"/>
          <w:sz w:val="24"/>
        </w:rPr>
        <w:t>question</w:t>
      </w:r>
      <w:r w:rsidR="00492510">
        <w:rPr>
          <w:rFonts w:ascii="Times New Roman" w:hAnsi="Times New Roman"/>
          <w:sz w:val="24"/>
        </w:rPr>
        <w:t xml:space="preserve"> of interpretation of the PPG – a matter of law. </w:t>
      </w:r>
    </w:p>
    <w:p w14:paraId="220EAF86" w14:textId="77777777" w:rsidR="00906EC1" w:rsidRPr="00906EC1" w:rsidRDefault="00906EC1" w:rsidP="00906EC1">
      <w:pPr>
        <w:pStyle w:val="ListParagraph"/>
        <w:spacing w:line="360" w:lineRule="auto"/>
        <w:jc w:val="both"/>
        <w:rPr>
          <w:rFonts w:ascii="Times New Roman" w:hAnsi="Times New Roman"/>
          <w:b/>
          <w:bCs/>
          <w:sz w:val="24"/>
        </w:rPr>
      </w:pPr>
    </w:p>
    <w:p w14:paraId="17635F2D" w14:textId="77777777" w:rsidR="00AC0766" w:rsidRDefault="00906EC1" w:rsidP="00AC0766">
      <w:pPr>
        <w:pStyle w:val="ListParagraph"/>
        <w:numPr>
          <w:ilvl w:val="0"/>
          <w:numId w:val="1"/>
        </w:numPr>
        <w:spacing w:line="360" w:lineRule="auto"/>
        <w:jc w:val="both"/>
        <w:rPr>
          <w:rFonts w:ascii="Times New Roman" w:hAnsi="Times New Roman"/>
          <w:sz w:val="24"/>
        </w:rPr>
      </w:pPr>
      <w:r w:rsidRPr="00D76267">
        <w:rPr>
          <w:rFonts w:ascii="Times New Roman" w:hAnsi="Times New Roman"/>
          <w:sz w:val="24"/>
        </w:rPr>
        <w:t>The most up-to-date</w:t>
      </w:r>
      <w:r>
        <w:rPr>
          <w:rFonts w:ascii="Times New Roman" w:hAnsi="Times New Roman"/>
          <w:sz w:val="24"/>
        </w:rPr>
        <w:t xml:space="preserve"> Housing Delivery Test results show Sheffield’s housing delivery to be 123% over the past three years against the local housing need figure, demonstrating a good record of housing delivery</w:t>
      </w:r>
      <w:r>
        <w:rPr>
          <w:rStyle w:val="FootnoteReference"/>
          <w:rFonts w:ascii="Times New Roman" w:hAnsi="Times New Roman"/>
          <w:sz w:val="24"/>
        </w:rPr>
        <w:footnoteReference w:id="19"/>
      </w:r>
      <w:r>
        <w:rPr>
          <w:rFonts w:ascii="Times New Roman" w:hAnsi="Times New Roman"/>
          <w:sz w:val="24"/>
        </w:rPr>
        <w:t xml:space="preserve">. </w:t>
      </w:r>
    </w:p>
    <w:p w14:paraId="5A46ED8E" w14:textId="77777777" w:rsidR="00AC0766" w:rsidRPr="00AC0766" w:rsidRDefault="00AC0766" w:rsidP="00AC0766">
      <w:pPr>
        <w:pStyle w:val="ListParagraph"/>
        <w:rPr>
          <w:rFonts w:ascii="Times New Roman" w:hAnsi="Times New Roman"/>
          <w:sz w:val="24"/>
        </w:rPr>
      </w:pPr>
    </w:p>
    <w:p w14:paraId="1C533EB8" w14:textId="6AF7AE71" w:rsidR="006C07EC" w:rsidRDefault="006C07EC" w:rsidP="00AC0766">
      <w:pPr>
        <w:pStyle w:val="ListParagraph"/>
        <w:numPr>
          <w:ilvl w:val="0"/>
          <w:numId w:val="1"/>
        </w:numPr>
        <w:spacing w:line="360" w:lineRule="auto"/>
        <w:jc w:val="both"/>
        <w:rPr>
          <w:rFonts w:ascii="Times New Roman" w:hAnsi="Times New Roman"/>
          <w:sz w:val="24"/>
        </w:rPr>
      </w:pPr>
      <w:r w:rsidRPr="00AC0766">
        <w:rPr>
          <w:rFonts w:ascii="Times New Roman" w:hAnsi="Times New Roman"/>
          <w:sz w:val="24"/>
        </w:rPr>
        <w:t xml:space="preserve">In this context, Mr Chapman assesses the benefits </w:t>
      </w:r>
      <w:r w:rsidR="00BA296B" w:rsidRPr="00AC0766">
        <w:rPr>
          <w:rFonts w:ascii="Times New Roman" w:hAnsi="Times New Roman"/>
          <w:sz w:val="24"/>
        </w:rPr>
        <w:t>deriving</w:t>
      </w:r>
      <w:r w:rsidRPr="00AC0766">
        <w:rPr>
          <w:rFonts w:ascii="Times New Roman" w:hAnsi="Times New Roman"/>
          <w:sz w:val="24"/>
        </w:rPr>
        <w:t xml:space="preserve"> from the </w:t>
      </w:r>
      <w:r w:rsidR="006A7AF5" w:rsidRPr="00AC0766">
        <w:rPr>
          <w:rFonts w:ascii="Times New Roman" w:hAnsi="Times New Roman"/>
          <w:sz w:val="24"/>
        </w:rPr>
        <w:t>contribution</w:t>
      </w:r>
      <w:r w:rsidRPr="00AC0766">
        <w:rPr>
          <w:rFonts w:ascii="Times New Roman" w:hAnsi="Times New Roman"/>
          <w:sz w:val="24"/>
        </w:rPr>
        <w:t xml:space="preserve"> of 85 units to the housing stock to be of moderate weight, and the additional 8-9 affordable units of limited weight. </w:t>
      </w:r>
      <w:r w:rsidR="00BA296B">
        <w:rPr>
          <w:rFonts w:ascii="Times New Roman" w:hAnsi="Times New Roman"/>
          <w:sz w:val="24"/>
        </w:rPr>
        <w:t>There are other benefits</w:t>
      </w:r>
      <w:r w:rsidR="00923626">
        <w:rPr>
          <w:rFonts w:ascii="Times New Roman" w:hAnsi="Times New Roman"/>
          <w:sz w:val="24"/>
        </w:rPr>
        <w:t xml:space="preserve"> but nothing which attracts significant weight. There will be short-term construction jobs</w:t>
      </w:r>
      <w:r w:rsidR="00225BD4">
        <w:rPr>
          <w:rFonts w:ascii="Times New Roman" w:hAnsi="Times New Roman"/>
          <w:sz w:val="24"/>
        </w:rPr>
        <w:t xml:space="preserve"> and the provision of some open space</w:t>
      </w:r>
      <w:r w:rsidR="001A5FD9">
        <w:rPr>
          <w:rFonts w:ascii="Times New Roman" w:hAnsi="Times New Roman"/>
          <w:sz w:val="24"/>
        </w:rPr>
        <w:t xml:space="preserve"> – although there is no evidence that this is needed in the area. The other claimed benefits are effectively mitigation</w:t>
      </w:r>
      <w:r w:rsidR="004A03D1">
        <w:rPr>
          <w:rFonts w:ascii="Times New Roman" w:hAnsi="Times New Roman"/>
          <w:sz w:val="24"/>
        </w:rPr>
        <w:t xml:space="preserve"> and attract only limited weight. Where a measure is proposed as mitigation this is obviously relevant to weight as the provision of it is necessary to make the development acceptable and for it to be taken into account as part of the reasons for granting the scheme in any event under the CIL Regulations 2010. </w:t>
      </w:r>
    </w:p>
    <w:p w14:paraId="52DFD327" w14:textId="77777777" w:rsidR="0041170F" w:rsidRPr="0041170F" w:rsidRDefault="0041170F" w:rsidP="0041170F">
      <w:pPr>
        <w:pStyle w:val="ListParagraph"/>
        <w:rPr>
          <w:rFonts w:ascii="Times New Roman" w:hAnsi="Times New Roman"/>
          <w:sz w:val="24"/>
        </w:rPr>
      </w:pPr>
    </w:p>
    <w:p w14:paraId="51841328" w14:textId="5F536B73" w:rsidR="0041170F" w:rsidRDefault="002E6D90" w:rsidP="00AC0766">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For the reasons given by Mr Chapman and summarised above the non-compliance of the proposals against the development plan </w:t>
      </w:r>
      <w:r w:rsidR="00CD3879">
        <w:rPr>
          <w:rFonts w:ascii="Times New Roman" w:hAnsi="Times New Roman"/>
          <w:sz w:val="24"/>
        </w:rPr>
        <w:t xml:space="preserve">attracts considerable weight in presuming against the scheme. The important policies are broadly consistent with the relevant NPPF objectives. </w:t>
      </w:r>
      <w:r w:rsidR="00A96602">
        <w:rPr>
          <w:rFonts w:ascii="Times New Roman" w:hAnsi="Times New Roman"/>
          <w:sz w:val="24"/>
        </w:rPr>
        <w:t>The NPPF does not displace the statutory presumption in favour of the development plan. In this case, the NPPF pulls in the same direction as the development pla</w:t>
      </w:r>
      <w:r w:rsidR="00AC0322">
        <w:rPr>
          <w:rFonts w:ascii="Times New Roman" w:hAnsi="Times New Roman"/>
          <w:sz w:val="24"/>
        </w:rPr>
        <w:t xml:space="preserve">n. </w:t>
      </w:r>
    </w:p>
    <w:p w14:paraId="2FD0A185" w14:textId="77777777" w:rsidR="0005702B" w:rsidRPr="0005702B" w:rsidRDefault="0005702B" w:rsidP="0005702B">
      <w:pPr>
        <w:pStyle w:val="ListParagraph"/>
        <w:rPr>
          <w:rFonts w:ascii="Times New Roman" w:hAnsi="Times New Roman"/>
          <w:sz w:val="24"/>
        </w:rPr>
      </w:pPr>
    </w:p>
    <w:p w14:paraId="1E4DF585" w14:textId="5E2433C2" w:rsidR="0005702B" w:rsidRDefault="0005702B" w:rsidP="00AC0766">
      <w:pPr>
        <w:pStyle w:val="ListParagraph"/>
        <w:numPr>
          <w:ilvl w:val="0"/>
          <w:numId w:val="1"/>
        </w:numPr>
        <w:spacing w:line="360" w:lineRule="auto"/>
        <w:jc w:val="both"/>
        <w:rPr>
          <w:rFonts w:ascii="Times New Roman" w:hAnsi="Times New Roman"/>
          <w:sz w:val="24"/>
        </w:rPr>
      </w:pPr>
      <w:r>
        <w:rPr>
          <w:rFonts w:ascii="Times New Roman" w:hAnsi="Times New Roman"/>
          <w:sz w:val="24"/>
        </w:rPr>
        <w:lastRenderedPageBreak/>
        <w:t>The til</w:t>
      </w:r>
      <w:r w:rsidR="00AF79D8">
        <w:rPr>
          <w:rFonts w:ascii="Times New Roman" w:hAnsi="Times New Roman"/>
          <w:sz w:val="24"/>
        </w:rPr>
        <w:t>t</w:t>
      </w:r>
      <w:r>
        <w:rPr>
          <w:rFonts w:ascii="Times New Roman" w:hAnsi="Times New Roman"/>
          <w:sz w:val="24"/>
        </w:rPr>
        <w:t xml:space="preserve">ed balance is not engaged for the reasons given above. </w:t>
      </w:r>
      <w:r w:rsidR="00336984">
        <w:rPr>
          <w:rFonts w:ascii="Times New Roman" w:hAnsi="Times New Roman"/>
          <w:sz w:val="24"/>
        </w:rPr>
        <w:t xml:space="preserve">Mr Chapman concludes that the NPPF 195 balancing exercise lies against the scheme as the </w:t>
      </w:r>
      <w:r w:rsidR="009662D3">
        <w:rPr>
          <w:rFonts w:ascii="Times New Roman" w:hAnsi="Times New Roman"/>
          <w:sz w:val="24"/>
        </w:rPr>
        <w:t xml:space="preserve">substantial harm to the identified heritage assets is not outweighed by substantial planning benefits. </w:t>
      </w:r>
      <w:r w:rsidR="00137158">
        <w:rPr>
          <w:rFonts w:ascii="Times New Roman" w:hAnsi="Times New Roman"/>
          <w:sz w:val="24"/>
        </w:rPr>
        <w:t>The Appellant does not claim otherwise.</w:t>
      </w:r>
    </w:p>
    <w:p w14:paraId="61BD1507" w14:textId="77777777" w:rsidR="009662D3" w:rsidRPr="009662D3" w:rsidRDefault="009662D3" w:rsidP="009662D3">
      <w:pPr>
        <w:pStyle w:val="ListParagraph"/>
        <w:rPr>
          <w:rFonts w:ascii="Times New Roman" w:hAnsi="Times New Roman"/>
          <w:sz w:val="24"/>
        </w:rPr>
      </w:pPr>
    </w:p>
    <w:p w14:paraId="0D3913E6" w14:textId="67DFC6B7" w:rsidR="009662D3" w:rsidRDefault="009662D3" w:rsidP="00AC0766">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In event, considered collectively the </w:t>
      </w:r>
      <w:r w:rsidR="004534B4">
        <w:rPr>
          <w:rFonts w:ascii="Times New Roman" w:hAnsi="Times New Roman"/>
          <w:sz w:val="24"/>
        </w:rPr>
        <w:t>harm does significantly and demonstrably outweigh the benefits of the scheme so that the tilted balance is not met.</w:t>
      </w:r>
    </w:p>
    <w:p w14:paraId="71667ACD" w14:textId="77777777" w:rsidR="00BC57FA" w:rsidRPr="00BC57FA" w:rsidRDefault="00BC57FA" w:rsidP="00BC57FA">
      <w:pPr>
        <w:pStyle w:val="ListParagraph"/>
        <w:rPr>
          <w:rFonts w:ascii="Times New Roman" w:hAnsi="Times New Roman"/>
          <w:sz w:val="24"/>
        </w:rPr>
      </w:pPr>
    </w:p>
    <w:p w14:paraId="0ED73705" w14:textId="2D4ED279" w:rsidR="00BC57FA" w:rsidRDefault="00BC57FA" w:rsidP="00AC0766">
      <w:pPr>
        <w:pStyle w:val="ListParagraph"/>
        <w:numPr>
          <w:ilvl w:val="0"/>
          <w:numId w:val="1"/>
        </w:numPr>
        <w:spacing w:line="360" w:lineRule="auto"/>
        <w:jc w:val="both"/>
        <w:rPr>
          <w:rFonts w:ascii="Times New Roman" w:hAnsi="Times New Roman"/>
          <w:sz w:val="24"/>
        </w:rPr>
      </w:pPr>
      <w:r>
        <w:rPr>
          <w:rFonts w:ascii="Times New Roman" w:hAnsi="Times New Roman"/>
          <w:sz w:val="24"/>
        </w:rPr>
        <w:t>Accordingly, planning permission should be refused.</w:t>
      </w:r>
    </w:p>
    <w:p w14:paraId="7FEEFC8A" w14:textId="77777777" w:rsidR="00BC57FA" w:rsidRPr="00BC57FA" w:rsidRDefault="00BC57FA" w:rsidP="00BC57FA">
      <w:pPr>
        <w:pStyle w:val="ListParagraph"/>
        <w:rPr>
          <w:rFonts w:ascii="Times New Roman" w:hAnsi="Times New Roman"/>
          <w:sz w:val="24"/>
        </w:rPr>
      </w:pPr>
    </w:p>
    <w:p w14:paraId="43ED414D" w14:textId="58CFA695" w:rsidR="00BC57FA" w:rsidRDefault="00BC57FA" w:rsidP="00BC57FA">
      <w:pPr>
        <w:spacing w:line="360" w:lineRule="auto"/>
        <w:jc w:val="both"/>
        <w:rPr>
          <w:rFonts w:ascii="Times New Roman" w:hAnsi="Times New Roman"/>
          <w:b/>
          <w:bCs/>
          <w:sz w:val="24"/>
        </w:rPr>
      </w:pPr>
      <w:r>
        <w:rPr>
          <w:rFonts w:ascii="Times New Roman" w:hAnsi="Times New Roman"/>
          <w:b/>
          <w:bCs/>
          <w:sz w:val="24"/>
        </w:rPr>
        <w:t>Landmark Chambers,</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t>GUY WILLIAMS</w:t>
      </w:r>
    </w:p>
    <w:p w14:paraId="31368A05" w14:textId="61820581" w:rsidR="00BC57FA" w:rsidRDefault="00BC57FA" w:rsidP="00BC57FA">
      <w:pPr>
        <w:spacing w:line="360" w:lineRule="auto"/>
        <w:jc w:val="both"/>
        <w:rPr>
          <w:rFonts w:ascii="Times New Roman" w:hAnsi="Times New Roman"/>
          <w:b/>
          <w:bCs/>
          <w:sz w:val="24"/>
        </w:rPr>
      </w:pPr>
      <w:r>
        <w:rPr>
          <w:rFonts w:ascii="Times New Roman" w:hAnsi="Times New Roman"/>
          <w:b/>
          <w:bCs/>
          <w:sz w:val="24"/>
        </w:rPr>
        <w:t>180 Fleet Street,</w:t>
      </w:r>
    </w:p>
    <w:p w14:paraId="541A04B9" w14:textId="21B59156" w:rsidR="00BC57FA" w:rsidRPr="00BC57FA" w:rsidRDefault="00BC57FA" w:rsidP="00BC57FA">
      <w:pPr>
        <w:spacing w:line="360" w:lineRule="auto"/>
        <w:jc w:val="both"/>
        <w:rPr>
          <w:rFonts w:ascii="Times New Roman" w:hAnsi="Times New Roman"/>
          <w:b/>
          <w:bCs/>
          <w:sz w:val="24"/>
        </w:rPr>
      </w:pPr>
      <w:r>
        <w:rPr>
          <w:rFonts w:ascii="Times New Roman" w:hAnsi="Times New Roman"/>
          <w:b/>
          <w:bCs/>
          <w:sz w:val="24"/>
        </w:rPr>
        <w:t>London EC4A 2HG</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00B345C7">
        <w:rPr>
          <w:rFonts w:ascii="Times New Roman" w:hAnsi="Times New Roman"/>
          <w:b/>
          <w:bCs/>
          <w:sz w:val="24"/>
        </w:rPr>
        <w:t>22 June 2021</w:t>
      </w:r>
    </w:p>
    <w:p w14:paraId="71B36103" w14:textId="77777777" w:rsidR="00C57AB2" w:rsidRPr="00C57AB2" w:rsidRDefault="00C57AB2" w:rsidP="00C57AB2">
      <w:pPr>
        <w:spacing w:line="360" w:lineRule="auto"/>
        <w:jc w:val="both"/>
        <w:rPr>
          <w:rFonts w:ascii="Times New Roman" w:hAnsi="Times New Roman"/>
          <w:sz w:val="24"/>
        </w:rPr>
      </w:pPr>
    </w:p>
    <w:p w14:paraId="74F4AE53" w14:textId="77777777" w:rsidR="00FD33D6" w:rsidRPr="001278D2" w:rsidRDefault="00FD33D6" w:rsidP="001278D2">
      <w:pPr>
        <w:spacing w:line="360" w:lineRule="auto"/>
        <w:jc w:val="both"/>
        <w:rPr>
          <w:rFonts w:ascii="Times New Roman" w:hAnsi="Times New Roman"/>
          <w:sz w:val="24"/>
        </w:rPr>
      </w:pPr>
    </w:p>
    <w:p w14:paraId="613735DD" w14:textId="1E1A3694" w:rsidR="00E67D6D" w:rsidRPr="001278D2" w:rsidRDefault="00E67D6D" w:rsidP="001278D2">
      <w:pPr>
        <w:spacing w:line="360" w:lineRule="auto"/>
        <w:jc w:val="both"/>
        <w:rPr>
          <w:rFonts w:ascii="Times New Roman" w:hAnsi="Times New Roman"/>
          <w:sz w:val="24"/>
        </w:rPr>
      </w:pPr>
    </w:p>
    <w:p w14:paraId="6EAC96B1" w14:textId="77777777" w:rsidR="00E67D6D" w:rsidRPr="001278D2" w:rsidRDefault="00E67D6D" w:rsidP="001278D2">
      <w:pPr>
        <w:spacing w:line="360" w:lineRule="auto"/>
        <w:jc w:val="both"/>
        <w:rPr>
          <w:rFonts w:ascii="Times New Roman" w:hAnsi="Times New Roman"/>
          <w:sz w:val="24"/>
        </w:rPr>
      </w:pPr>
    </w:p>
    <w:p w14:paraId="4553080F" w14:textId="1D6907BC" w:rsidR="00E67D6D" w:rsidRPr="001278D2" w:rsidRDefault="00E67D6D" w:rsidP="001278D2">
      <w:pPr>
        <w:spacing w:line="360" w:lineRule="auto"/>
        <w:jc w:val="both"/>
        <w:rPr>
          <w:rFonts w:ascii="Times New Roman" w:hAnsi="Times New Roman"/>
          <w:sz w:val="24"/>
        </w:rPr>
      </w:pPr>
    </w:p>
    <w:p w14:paraId="615A7A6E" w14:textId="6717C492" w:rsidR="00E67D6D" w:rsidRPr="001278D2" w:rsidRDefault="00E67D6D" w:rsidP="001278D2">
      <w:pPr>
        <w:spacing w:line="360" w:lineRule="auto"/>
        <w:jc w:val="both"/>
        <w:rPr>
          <w:rFonts w:ascii="Times New Roman" w:hAnsi="Times New Roman"/>
          <w:sz w:val="24"/>
        </w:rPr>
      </w:pPr>
    </w:p>
    <w:p w14:paraId="15DD037C" w14:textId="5ADB7BD8" w:rsidR="00E67D6D" w:rsidRPr="001278D2" w:rsidRDefault="00E67D6D" w:rsidP="001278D2">
      <w:pPr>
        <w:spacing w:line="360" w:lineRule="auto"/>
        <w:jc w:val="both"/>
        <w:rPr>
          <w:rFonts w:ascii="Times New Roman" w:hAnsi="Times New Roman"/>
          <w:sz w:val="24"/>
        </w:rPr>
      </w:pPr>
    </w:p>
    <w:p w14:paraId="312AF878" w14:textId="77777777" w:rsidR="00E67D6D" w:rsidRPr="001278D2" w:rsidRDefault="00E67D6D" w:rsidP="001278D2">
      <w:pPr>
        <w:spacing w:line="360" w:lineRule="auto"/>
        <w:jc w:val="both"/>
        <w:rPr>
          <w:rFonts w:ascii="Times New Roman" w:hAnsi="Times New Roman"/>
          <w:sz w:val="24"/>
        </w:rPr>
      </w:pPr>
    </w:p>
    <w:sectPr w:rsidR="00E67D6D" w:rsidRPr="001278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60E9" w14:textId="77777777" w:rsidR="00753845" w:rsidRDefault="00753845" w:rsidP="007D469D">
      <w:pPr>
        <w:spacing w:after="0" w:line="240" w:lineRule="auto"/>
      </w:pPr>
      <w:r>
        <w:separator/>
      </w:r>
    </w:p>
  </w:endnote>
  <w:endnote w:type="continuationSeparator" w:id="0">
    <w:p w14:paraId="777BB329" w14:textId="77777777" w:rsidR="00753845" w:rsidRDefault="00753845" w:rsidP="007D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29535"/>
      <w:docPartObj>
        <w:docPartGallery w:val="Page Numbers (Bottom of Page)"/>
        <w:docPartUnique/>
      </w:docPartObj>
    </w:sdtPr>
    <w:sdtEndPr>
      <w:rPr>
        <w:noProof/>
      </w:rPr>
    </w:sdtEndPr>
    <w:sdtContent>
      <w:p w14:paraId="02628EBD" w14:textId="25792C5B" w:rsidR="002970D9" w:rsidRDefault="002970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993A5" w14:textId="77777777" w:rsidR="002970D9" w:rsidRDefault="0029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8BB3" w14:textId="77777777" w:rsidR="00753845" w:rsidRDefault="00753845" w:rsidP="007D469D">
      <w:pPr>
        <w:spacing w:after="0" w:line="240" w:lineRule="auto"/>
      </w:pPr>
      <w:r>
        <w:separator/>
      </w:r>
    </w:p>
  </w:footnote>
  <w:footnote w:type="continuationSeparator" w:id="0">
    <w:p w14:paraId="585EBA8C" w14:textId="77777777" w:rsidR="00753845" w:rsidRDefault="00753845" w:rsidP="007D469D">
      <w:pPr>
        <w:spacing w:after="0" w:line="240" w:lineRule="auto"/>
      </w:pPr>
      <w:r>
        <w:continuationSeparator/>
      </w:r>
    </w:p>
  </w:footnote>
  <w:footnote w:id="1">
    <w:p w14:paraId="457E8811" w14:textId="358A22B9" w:rsidR="007D469D" w:rsidRDefault="007D469D">
      <w:pPr>
        <w:pStyle w:val="FootnoteText"/>
      </w:pPr>
      <w:r>
        <w:rPr>
          <w:rStyle w:val="FootnoteReference"/>
        </w:rPr>
        <w:footnoteRef/>
      </w:r>
      <w:r>
        <w:t xml:space="preserve"> Decision Notice at CD 1.9</w:t>
      </w:r>
    </w:p>
  </w:footnote>
  <w:footnote w:id="2">
    <w:p w14:paraId="2422B15A" w14:textId="45B84886" w:rsidR="00AA25C1" w:rsidRDefault="00AA25C1">
      <w:pPr>
        <w:pStyle w:val="FootnoteText"/>
      </w:pPr>
      <w:r>
        <w:rPr>
          <w:rStyle w:val="FootnoteReference"/>
        </w:rPr>
        <w:footnoteRef/>
      </w:r>
      <w:r>
        <w:t xml:space="preserve"> 127</w:t>
      </w:r>
      <w:r w:rsidR="004D7DCD">
        <w:t>(c)</w:t>
      </w:r>
    </w:p>
  </w:footnote>
  <w:footnote w:id="3">
    <w:p w14:paraId="57894E9A" w14:textId="2299D8D8" w:rsidR="001C77FF" w:rsidRDefault="001C77FF">
      <w:pPr>
        <w:pStyle w:val="FootnoteText"/>
      </w:pPr>
      <w:r>
        <w:rPr>
          <w:rStyle w:val="FootnoteReference"/>
        </w:rPr>
        <w:footnoteRef/>
      </w:r>
      <w:r>
        <w:t xml:space="preserve"> NPPF 170(b)</w:t>
      </w:r>
    </w:p>
  </w:footnote>
  <w:footnote w:id="4">
    <w:p w14:paraId="2811431F" w14:textId="77777777" w:rsidR="002D793C" w:rsidRDefault="002D793C" w:rsidP="002D793C">
      <w:pPr>
        <w:pStyle w:val="FootnoteText"/>
      </w:pPr>
      <w:r>
        <w:rPr>
          <w:rStyle w:val="FootnoteReference"/>
        </w:rPr>
        <w:footnoteRef/>
      </w:r>
      <w:r>
        <w:t xml:space="preserve"> CD7.2</w:t>
      </w:r>
    </w:p>
  </w:footnote>
  <w:footnote w:id="5">
    <w:p w14:paraId="374D5698" w14:textId="00AEB747" w:rsidR="00D5543A" w:rsidRDefault="00D5543A">
      <w:pPr>
        <w:pStyle w:val="FootnoteText"/>
      </w:pPr>
      <w:r>
        <w:rPr>
          <w:rStyle w:val="FootnoteReference"/>
        </w:rPr>
        <w:footnoteRef/>
      </w:r>
      <w:r>
        <w:t xml:space="preserve"> CD7.5</w:t>
      </w:r>
    </w:p>
  </w:footnote>
  <w:footnote w:id="6">
    <w:p w14:paraId="23C93A42" w14:textId="430DE435" w:rsidR="00914A53" w:rsidRDefault="00914A53">
      <w:pPr>
        <w:pStyle w:val="FootnoteText"/>
      </w:pPr>
      <w:r>
        <w:rPr>
          <w:rStyle w:val="FootnoteReference"/>
        </w:rPr>
        <w:footnoteRef/>
      </w:r>
      <w:r>
        <w:t xml:space="preserve"> See RA Appendix C</w:t>
      </w:r>
    </w:p>
  </w:footnote>
  <w:footnote w:id="7">
    <w:p w14:paraId="596F99FE" w14:textId="6FF29A10" w:rsidR="00CE081D" w:rsidRDefault="00CE081D">
      <w:pPr>
        <w:pStyle w:val="FootnoteText"/>
      </w:pPr>
      <w:r>
        <w:rPr>
          <w:rStyle w:val="FootnoteReference"/>
        </w:rPr>
        <w:footnoteRef/>
      </w:r>
      <w:r>
        <w:t xml:space="preserve"> </w:t>
      </w:r>
      <w:r w:rsidR="006C646C">
        <w:t>CD1.10</w:t>
      </w:r>
    </w:p>
  </w:footnote>
  <w:footnote w:id="8">
    <w:p w14:paraId="19FCB467" w14:textId="3DAC2830" w:rsidR="00C71262" w:rsidRDefault="00C71262">
      <w:pPr>
        <w:pStyle w:val="FootnoteText"/>
      </w:pPr>
      <w:r>
        <w:rPr>
          <w:rStyle w:val="FootnoteReference"/>
        </w:rPr>
        <w:footnoteRef/>
      </w:r>
      <w:r>
        <w:t xml:space="preserve"> Heritage SoCG at 1.23</w:t>
      </w:r>
    </w:p>
  </w:footnote>
  <w:footnote w:id="9">
    <w:p w14:paraId="49EB9B99" w14:textId="4FC7A679" w:rsidR="009A2496" w:rsidRDefault="009A2496">
      <w:pPr>
        <w:pStyle w:val="FootnoteText"/>
      </w:pPr>
      <w:r>
        <w:rPr>
          <w:rStyle w:val="FootnoteReference"/>
        </w:rPr>
        <w:footnoteRef/>
      </w:r>
      <w:r>
        <w:t xml:space="preserve"> NPPF </w:t>
      </w:r>
      <w:r w:rsidR="001F11FD">
        <w:t>193-194.</w:t>
      </w:r>
    </w:p>
  </w:footnote>
  <w:footnote w:id="10">
    <w:p w14:paraId="2F712FB3" w14:textId="35AD27AE" w:rsidR="003630FD" w:rsidRDefault="003630FD">
      <w:pPr>
        <w:pStyle w:val="FootnoteText"/>
      </w:pPr>
      <w:r>
        <w:rPr>
          <w:rStyle w:val="FootnoteReference"/>
        </w:rPr>
        <w:footnoteRef/>
      </w:r>
      <w:r>
        <w:t xml:space="preserve"> </w:t>
      </w:r>
      <w:r w:rsidR="00A06A94">
        <w:t>PPG 18a - 1017</w:t>
      </w:r>
    </w:p>
  </w:footnote>
  <w:footnote w:id="11">
    <w:p w14:paraId="04ED855D" w14:textId="4DFDA0D5" w:rsidR="00EC2FEB" w:rsidRDefault="00EC2FEB">
      <w:pPr>
        <w:pStyle w:val="FootnoteText"/>
      </w:pPr>
      <w:r>
        <w:rPr>
          <w:rStyle w:val="FootnoteReference"/>
        </w:rPr>
        <w:footnoteRef/>
      </w:r>
      <w:r>
        <w:t xml:space="preserve"> CD 5.7</w:t>
      </w:r>
    </w:p>
  </w:footnote>
  <w:footnote w:id="12">
    <w:p w14:paraId="0AE9B273" w14:textId="04FBD19A" w:rsidR="00546BF7" w:rsidRDefault="00546BF7">
      <w:pPr>
        <w:pStyle w:val="FootnoteText"/>
      </w:pPr>
      <w:r>
        <w:rPr>
          <w:rStyle w:val="FootnoteReference"/>
        </w:rPr>
        <w:footnoteRef/>
      </w:r>
      <w:r>
        <w:t xml:space="preserve"> CD5.5</w:t>
      </w:r>
    </w:p>
  </w:footnote>
  <w:footnote w:id="13">
    <w:p w14:paraId="4FB9E3F8" w14:textId="0A9C5556" w:rsidR="00E46E67" w:rsidRDefault="00E46E67">
      <w:pPr>
        <w:pStyle w:val="FootnoteText"/>
      </w:pPr>
      <w:r>
        <w:rPr>
          <w:rStyle w:val="FootnoteReference"/>
        </w:rPr>
        <w:footnoteRef/>
      </w:r>
      <w:r>
        <w:t xml:space="preserve"> See e.g. the 1855 OS – RM fig 6. </w:t>
      </w:r>
    </w:p>
  </w:footnote>
  <w:footnote w:id="14">
    <w:p w14:paraId="57B4472A" w14:textId="35646CA1" w:rsidR="00E87457" w:rsidRDefault="00E87457">
      <w:pPr>
        <w:pStyle w:val="FootnoteText"/>
      </w:pPr>
      <w:r>
        <w:rPr>
          <w:rStyle w:val="FootnoteReference"/>
        </w:rPr>
        <w:footnoteRef/>
      </w:r>
      <w:r>
        <w:t xml:space="preserve"> Proof 5.4</w:t>
      </w:r>
    </w:p>
  </w:footnote>
  <w:footnote w:id="15">
    <w:p w14:paraId="520E7D09" w14:textId="3BB27B17" w:rsidR="00A871E5" w:rsidRDefault="00A871E5">
      <w:pPr>
        <w:pStyle w:val="FootnoteText"/>
      </w:pPr>
      <w:r>
        <w:rPr>
          <w:rStyle w:val="FootnoteReference"/>
        </w:rPr>
        <w:footnoteRef/>
      </w:r>
      <w:r>
        <w:t xml:space="preserve"> Para 6.1</w:t>
      </w:r>
    </w:p>
  </w:footnote>
  <w:footnote w:id="16">
    <w:p w14:paraId="34A9098E" w14:textId="2894DE36" w:rsidR="00C6637C" w:rsidRDefault="00C6637C">
      <w:pPr>
        <w:pStyle w:val="FootnoteText"/>
      </w:pPr>
      <w:r>
        <w:rPr>
          <w:rStyle w:val="FootnoteReference"/>
        </w:rPr>
        <w:footnoteRef/>
      </w:r>
      <w:r>
        <w:t xml:space="preserve"> In section 6</w:t>
      </w:r>
    </w:p>
  </w:footnote>
  <w:footnote w:id="17">
    <w:p w14:paraId="05B8216B" w14:textId="6F42F6E9" w:rsidR="009A4D16" w:rsidRDefault="009A4D16">
      <w:pPr>
        <w:pStyle w:val="FootnoteText"/>
      </w:pPr>
      <w:r>
        <w:rPr>
          <w:rStyle w:val="FootnoteReference"/>
        </w:rPr>
        <w:footnoteRef/>
      </w:r>
      <w:r>
        <w:t xml:space="preserve"> CS para 9.26</w:t>
      </w:r>
    </w:p>
  </w:footnote>
  <w:footnote w:id="18">
    <w:p w14:paraId="120592A7" w14:textId="562A19E1" w:rsidR="00B6690D" w:rsidRDefault="00B6690D">
      <w:pPr>
        <w:pStyle w:val="FootnoteText"/>
      </w:pPr>
      <w:r>
        <w:rPr>
          <w:rStyle w:val="FootnoteReference"/>
        </w:rPr>
        <w:footnoteRef/>
      </w:r>
      <w:r>
        <w:t xml:space="preserve"> NPPF 117/118.</w:t>
      </w:r>
    </w:p>
  </w:footnote>
  <w:footnote w:id="19">
    <w:p w14:paraId="30B611D7" w14:textId="511B16E7" w:rsidR="00906EC1" w:rsidRDefault="00906EC1" w:rsidP="00906EC1">
      <w:pPr>
        <w:pStyle w:val="FootnoteText"/>
      </w:pPr>
      <w:r>
        <w:rPr>
          <w:rStyle w:val="FootnoteReference"/>
        </w:rPr>
        <w:footnoteRef/>
      </w:r>
      <w:r>
        <w:t xml:space="preserve"> Laura Stephens proof of evidence at 3.</w:t>
      </w:r>
      <w:r w:rsidR="00AC0766">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6B49"/>
    <w:multiLevelType w:val="hybridMultilevel"/>
    <w:tmpl w:val="70CEFA02"/>
    <w:lvl w:ilvl="0" w:tplc="538694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9F7457B"/>
    <w:multiLevelType w:val="hybridMultilevel"/>
    <w:tmpl w:val="085630EC"/>
    <w:lvl w:ilvl="0" w:tplc="12C80668">
      <w:start w:val="4"/>
      <w:numFmt w:val="bullet"/>
      <w:lvlText w:val="-"/>
      <w:lvlJc w:val="left"/>
      <w:pPr>
        <w:ind w:left="1860" w:hanging="360"/>
      </w:pPr>
      <w:rPr>
        <w:rFonts w:ascii="Times New Roman" w:eastAsiaTheme="minorHAnsi" w:hAnsi="Times New Roman" w:cs="Times New Roman"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3F0F6967"/>
    <w:multiLevelType w:val="hybridMultilevel"/>
    <w:tmpl w:val="301CEAD2"/>
    <w:lvl w:ilvl="0" w:tplc="0504B9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4373E"/>
    <w:multiLevelType w:val="hybridMultilevel"/>
    <w:tmpl w:val="4FB2DBFE"/>
    <w:lvl w:ilvl="0" w:tplc="AB3820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4543B33"/>
    <w:multiLevelType w:val="hybridMultilevel"/>
    <w:tmpl w:val="8F5E9060"/>
    <w:lvl w:ilvl="0" w:tplc="44D626E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F850E9"/>
    <w:multiLevelType w:val="hybridMultilevel"/>
    <w:tmpl w:val="E766B2CE"/>
    <w:lvl w:ilvl="0" w:tplc="6F080D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6D"/>
    <w:rsid w:val="00001D7A"/>
    <w:rsid w:val="00023E78"/>
    <w:rsid w:val="00046D02"/>
    <w:rsid w:val="0004758D"/>
    <w:rsid w:val="0005702B"/>
    <w:rsid w:val="00097D85"/>
    <w:rsid w:val="000A266B"/>
    <w:rsid w:val="000B7AD3"/>
    <w:rsid w:val="000E4CB1"/>
    <w:rsid w:val="00122B6E"/>
    <w:rsid w:val="001278D2"/>
    <w:rsid w:val="001320D5"/>
    <w:rsid w:val="00137158"/>
    <w:rsid w:val="0014542B"/>
    <w:rsid w:val="0015346D"/>
    <w:rsid w:val="001559CE"/>
    <w:rsid w:val="00162924"/>
    <w:rsid w:val="001825B6"/>
    <w:rsid w:val="001A2417"/>
    <w:rsid w:val="001A5FD9"/>
    <w:rsid w:val="001C3D23"/>
    <w:rsid w:val="001C77FF"/>
    <w:rsid w:val="001D4CE0"/>
    <w:rsid w:val="001F11FD"/>
    <w:rsid w:val="0022189D"/>
    <w:rsid w:val="00225BD4"/>
    <w:rsid w:val="0024065E"/>
    <w:rsid w:val="002424D5"/>
    <w:rsid w:val="00262CE6"/>
    <w:rsid w:val="00266B20"/>
    <w:rsid w:val="00274D9C"/>
    <w:rsid w:val="00276DF6"/>
    <w:rsid w:val="002876B5"/>
    <w:rsid w:val="00293E8E"/>
    <w:rsid w:val="00296D62"/>
    <w:rsid w:val="002970D9"/>
    <w:rsid w:val="002D793C"/>
    <w:rsid w:val="002E0328"/>
    <w:rsid w:val="002E6D90"/>
    <w:rsid w:val="002F5655"/>
    <w:rsid w:val="003248F3"/>
    <w:rsid w:val="0033594D"/>
    <w:rsid w:val="00336984"/>
    <w:rsid w:val="003454DD"/>
    <w:rsid w:val="003459C4"/>
    <w:rsid w:val="00352080"/>
    <w:rsid w:val="003630FD"/>
    <w:rsid w:val="00363C09"/>
    <w:rsid w:val="00381E5A"/>
    <w:rsid w:val="0038272B"/>
    <w:rsid w:val="00383077"/>
    <w:rsid w:val="00383D61"/>
    <w:rsid w:val="003879C7"/>
    <w:rsid w:val="003D4CDC"/>
    <w:rsid w:val="003F3C73"/>
    <w:rsid w:val="004000D6"/>
    <w:rsid w:val="0041170F"/>
    <w:rsid w:val="00417C13"/>
    <w:rsid w:val="00422364"/>
    <w:rsid w:val="00430603"/>
    <w:rsid w:val="00435CDE"/>
    <w:rsid w:val="00440119"/>
    <w:rsid w:val="0045018C"/>
    <w:rsid w:val="00452AE7"/>
    <w:rsid w:val="004534B4"/>
    <w:rsid w:val="00471BE9"/>
    <w:rsid w:val="00473A68"/>
    <w:rsid w:val="00492510"/>
    <w:rsid w:val="0049283A"/>
    <w:rsid w:val="00496D48"/>
    <w:rsid w:val="004A03D1"/>
    <w:rsid w:val="004A68F3"/>
    <w:rsid w:val="004C3F37"/>
    <w:rsid w:val="004D01AF"/>
    <w:rsid w:val="004D7DCD"/>
    <w:rsid w:val="004E7821"/>
    <w:rsid w:val="00504B8C"/>
    <w:rsid w:val="00514FB1"/>
    <w:rsid w:val="00546BF7"/>
    <w:rsid w:val="00555F0B"/>
    <w:rsid w:val="00581768"/>
    <w:rsid w:val="00583F65"/>
    <w:rsid w:val="00587EE2"/>
    <w:rsid w:val="00593AB1"/>
    <w:rsid w:val="005A0D6F"/>
    <w:rsid w:val="005A1A23"/>
    <w:rsid w:val="005A6A13"/>
    <w:rsid w:val="005F33D4"/>
    <w:rsid w:val="00615F5E"/>
    <w:rsid w:val="00626BC5"/>
    <w:rsid w:val="0063662E"/>
    <w:rsid w:val="0066522B"/>
    <w:rsid w:val="00673857"/>
    <w:rsid w:val="00682B88"/>
    <w:rsid w:val="006A7AF5"/>
    <w:rsid w:val="006C07EC"/>
    <w:rsid w:val="006C646C"/>
    <w:rsid w:val="006D509B"/>
    <w:rsid w:val="006E21D6"/>
    <w:rsid w:val="007124B3"/>
    <w:rsid w:val="00713868"/>
    <w:rsid w:val="00721F39"/>
    <w:rsid w:val="00735CDC"/>
    <w:rsid w:val="00747178"/>
    <w:rsid w:val="00753845"/>
    <w:rsid w:val="00764585"/>
    <w:rsid w:val="007659F8"/>
    <w:rsid w:val="0076731B"/>
    <w:rsid w:val="00771453"/>
    <w:rsid w:val="007723E8"/>
    <w:rsid w:val="007734B4"/>
    <w:rsid w:val="0079319A"/>
    <w:rsid w:val="007A1809"/>
    <w:rsid w:val="007A1F69"/>
    <w:rsid w:val="007C2133"/>
    <w:rsid w:val="007D469D"/>
    <w:rsid w:val="007E13D8"/>
    <w:rsid w:val="007E454B"/>
    <w:rsid w:val="00804985"/>
    <w:rsid w:val="00823C49"/>
    <w:rsid w:val="008313E4"/>
    <w:rsid w:val="008334BE"/>
    <w:rsid w:val="008374A4"/>
    <w:rsid w:val="008438E9"/>
    <w:rsid w:val="00845C38"/>
    <w:rsid w:val="0084647A"/>
    <w:rsid w:val="0088099B"/>
    <w:rsid w:val="008905F1"/>
    <w:rsid w:val="008929EA"/>
    <w:rsid w:val="008B7C40"/>
    <w:rsid w:val="008D447C"/>
    <w:rsid w:val="008E164D"/>
    <w:rsid w:val="008E36DB"/>
    <w:rsid w:val="008E74CC"/>
    <w:rsid w:val="00906EC1"/>
    <w:rsid w:val="00914A53"/>
    <w:rsid w:val="00920031"/>
    <w:rsid w:val="00923626"/>
    <w:rsid w:val="00930511"/>
    <w:rsid w:val="00943D85"/>
    <w:rsid w:val="00944B41"/>
    <w:rsid w:val="00956707"/>
    <w:rsid w:val="00957A38"/>
    <w:rsid w:val="00957F7A"/>
    <w:rsid w:val="009662D3"/>
    <w:rsid w:val="00972FF1"/>
    <w:rsid w:val="00991B17"/>
    <w:rsid w:val="009A11E9"/>
    <w:rsid w:val="009A2496"/>
    <w:rsid w:val="009A33E9"/>
    <w:rsid w:val="009A4D16"/>
    <w:rsid w:val="009D02EF"/>
    <w:rsid w:val="009D1CE6"/>
    <w:rsid w:val="009E2346"/>
    <w:rsid w:val="009F6CFA"/>
    <w:rsid w:val="00A06A94"/>
    <w:rsid w:val="00A12B72"/>
    <w:rsid w:val="00A21E4F"/>
    <w:rsid w:val="00A2448F"/>
    <w:rsid w:val="00A27BB9"/>
    <w:rsid w:val="00A433D4"/>
    <w:rsid w:val="00A55D76"/>
    <w:rsid w:val="00A66C25"/>
    <w:rsid w:val="00A871E5"/>
    <w:rsid w:val="00A9082D"/>
    <w:rsid w:val="00A96602"/>
    <w:rsid w:val="00AA25C1"/>
    <w:rsid w:val="00AA64DC"/>
    <w:rsid w:val="00AC0322"/>
    <w:rsid w:val="00AC0766"/>
    <w:rsid w:val="00AC5513"/>
    <w:rsid w:val="00AF79D8"/>
    <w:rsid w:val="00B02387"/>
    <w:rsid w:val="00B0577C"/>
    <w:rsid w:val="00B06ACD"/>
    <w:rsid w:val="00B10B69"/>
    <w:rsid w:val="00B33137"/>
    <w:rsid w:val="00B345C7"/>
    <w:rsid w:val="00B361CC"/>
    <w:rsid w:val="00B51451"/>
    <w:rsid w:val="00B6690D"/>
    <w:rsid w:val="00B811FB"/>
    <w:rsid w:val="00B8459E"/>
    <w:rsid w:val="00BA296B"/>
    <w:rsid w:val="00BC57FA"/>
    <w:rsid w:val="00BE783E"/>
    <w:rsid w:val="00C57AB2"/>
    <w:rsid w:val="00C65561"/>
    <w:rsid w:val="00C6637C"/>
    <w:rsid w:val="00C66B4C"/>
    <w:rsid w:val="00C71262"/>
    <w:rsid w:val="00C7741A"/>
    <w:rsid w:val="00C81169"/>
    <w:rsid w:val="00CA4175"/>
    <w:rsid w:val="00CA6319"/>
    <w:rsid w:val="00CB1492"/>
    <w:rsid w:val="00CC6CFA"/>
    <w:rsid w:val="00CD3879"/>
    <w:rsid w:val="00CE081D"/>
    <w:rsid w:val="00CF7D37"/>
    <w:rsid w:val="00D03E67"/>
    <w:rsid w:val="00D45EEB"/>
    <w:rsid w:val="00D5543A"/>
    <w:rsid w:val="00D56E3A"/>
    <w:rsid w:val="00D64385"/>
    <w:rsid w:val="00D654ED"/>
    <w:rsid w:val="00D76B17"/>
    <w:rsid w:val="00DC31C8"/>
    <w:rsid w:val="00DC4070"/>
    <w:rsid w:val="00DE312C"/>
    <w:rsid w:val="00E119F7"/>
    <w:rsid w:val="00E1339C"/>
    <w:rsid w:val="00E1398B"/>
    <w:rsid w:val="00E46E67"/>
    <w:rsid w:val="00E65585"/>
    <w:rsid w:val="00E6775A"/>
    <w:rsid w:val="00E67D6D"/>
    <w:rsid w:val="00E75762"/>
    <w:rsid w:val="00E76E52"/>
    <w:rsid w:val="00E77D72"/>
    <w:rsid w:val="00E80759"/>
    <w:rsid w:val="00E85EFF"/>
    <w:rsid w:val="00E87457"/>
    <w:rsid w:val="00E97DE7"/>
    <w:rsid w:val="00EB14B2"/>
    <w:rsid w:val="00EC026A"/>
    <w:rsid w:val="00EC1EAD"/>
    <w:rsid w:val="00EC2FEB"/>
    <w:rsid w:val="00ED145F"/>
    <w:rsid w:val="00ED39EA"/>
    <w:rsid w:val="00EF5824"/>
    <w:rsid w:val="00F16B43"/>
    <w:rsid w:val="00F21E10"/>
    <w:rsid w:val="00F52E9C"/>
    <w:rsid w:val="00F538CD"/>
    <w:rsid w:val="00F53EEF"/>
    <w:rsid w:val="00F676AA"/>
    <w:rsid w:val="00FA11AF"/>
    <w:rsid w:val="00FA452A"/>
    <w:rsid w:val="00FD0C06"/>
    <w:rsid w:val="00FD33D6"/>
    <w:rsid w:val="00FE1A32"/>
    <w:rsid w:val="00FF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D816"/>
  <w15:chartTrackingRefBased/>
  <w15:docId w15:val="{2BB72B4C-9ABD-4831-9D0E-FF352F43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69D"/>
    <w:pPr>
      <w:ind w:left="720"/>
      <w:contextualSpacing/>
    </w:pPr>
  </w:style>
  <w:style w:type="paragraph" w:styleId="EndnoteText">
    <w:name w:val="endnote text"/>
    <w:basedOn w:val="Normal"/>
    <w:link w:val="EndnoteTextChar"/>
    <w:uiPriority w:val="99"/>
    <w:semiHidden/>
    <w:unhideWhenUsed/>
    <w:rsid w:val="007D4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469D"/>
    <w:rPr>
      <w:sz w:val="20"/>
      <w:szCs w:val="20"/>
    </w:rPr>
  </w:style>
  <w:style w:type="character" w:styleId="EndnoteReference">
    <w:name w:val="endnote reference"/>
    <w:basedOn w:val="DefaultParagraphFont"/>
    <w:uiPriority w:val="99"/>
    <w:semiHidden/>
    <w:unhideWhenUsed/>
    <w:rsid w:val="007D469D"/>
    <w:rPr>
      <w:vertAlign w:val="superscript"/>
    </w:rPr>
  </w:style>
  <w:style w:type="paragraph" w:styleId="FootnoteText">
    <w:name w:val="footnote text"/>
    <w:basedOn w:val="Normal"/>
    <w:link w:val="FootnoteTextChar"/>
    <w:uiPriority w:val="99"/>
    <w:semiHidden/>
    <w:unhideWhenUsed/>
    <w:rsid w:val="007D4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69D"/>
    <w:rPr>
      <w:sz w:val="20"/>
      <w:szCs w:val="20"/>
    </w:rPr>
  </w:style>
  <w:style w:type="character" w:styleId="FootnoteReference">
    <w:name w:val="footnote reference"/>
    <w:basedOn w:val="DefaultParagraphFont"/>
    <w:uiPriority w:val="99"/>
    <w:semiHidden/>
    <w:unhideWhenUsed/>
    <w:rsid w:val="007D469D"/>
    <w:rPr>
      <w:vertAlign w:val="superscript"/>
    </w:rPr>
  </w:style>
  <w:style w:type="paragraph" w:styleId="Header">
    <w:name w:val="header"/>
    <w:basedOn w:val="Normal"/>
    <w:link w:val="HeaderChar"/>
    <w:uiPriority w:val="99"/>
    <w:unhideWhenUsed/>
    <w:rsid w:val="00297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D9"/>
  </w:style>
  <w:style w:type="paragraph" w:styleId="Footer">
    <w:name w:val="footer"/>
    <w:basedOn w:val="Normal"/>
    <w:link w:val="FooterChar"/>
    <w:uiPriority w:val="99"/>
    <w:unhideWhenUsed/>
    <w:rsid w:val="00297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Williams</dc:creator>
  <cp:keywords/>
  <dc:description/>
  <cp:lastModifiedBy>Guy Williams</cp:lastModifiedBy>
  <cp:revision>239</cp:revision>
  <cp:lastPrinted>2021-06-21T07:00:00Z</cp:lastPrinted>
  <dcterms:created xsi:type="dcterms:W3CDTF">2021-06-18T08:00:00Z</dcterms:created>
  <dcterms:modified xsi:type="dcterms:W3CDTF">2021-06-22T07:18:00Z</dcterms:modified>
</cp:coreProperties>
</file>